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color w:val="000000" w:themeColor="text1"/>
          <w:sz w:val="72"/>
          <w:szCs w:val="72"/>
        </w:rPr>
      </w:pPr>
      <w:bookmarkStart w:id="0" w:name="_Toc15306267"/>
    </w:p>
    <w:p>
      <w:pPr>
        <w:spacing w:line="600" w:lineRule="exact"/>
        <w:jc w:val="center"/>
        <w:rPr>
          <w:rFonts w:ascii="方正小标宋简体" w:hAnsi="宋体" w:eastAsia="方正小标宋简体"/>
          <w:color w:val="000000" w:themeColor="text1"/>
          <w:sz w:val="72"/>
          <w:szCs w:val="72"/>
        </w:rPr>
      </w:pPr>
    </w:p>
    <w:p>
      <w:pPr>
        <w:spacing w:line="600" w:lineRule="exact"/>
        <w:jc w:val="center"/>
        <w:rPr>
          <w:rFonts w:ascii="方正小标宋简体" w:hAnsi="宋体" w:eastAsia="方正小标宋简体"/>
          <w:color w:val="000000" w:themeColor="text1"/>
          <w:sz w:val="72"/>
          <w:szCs w:val="72"/>
        </w:rPr>
      </w:pPr>
    </w:p>
    <w:p>
      <w:pPr>
        <w:spacing w:line="600" w:lineRule="exact"/>
        <w:jc w:val="center"/>
        <w:rPr>
          <w:rFonts w:ascii="方正小标宋简体" w:hAnsi="宋体" w:eastAsia="方正小标宋简体"/>
          <w:color w:val="000000" w:themeColor="text1"/>
          <w:sz w:val="72"/>
          <w:szCs w:val="72"/>
        </w:rPr>
      </w:pPr>
    </w:p>
    <w:p>
      <w:pPr>
        <w:adjustRightInd w:val="0"/>
        <w:snapToGrid w:val="0"/>
        <w:spacing w:line="360" w:lineRule="auto"/>
        <w:jc w:val="center"/>
        <w:outlineLvl w:val="0"/>
        <w:rPr>
          <w:rFonts w:ascii="黑体" w:hAnsi="黑体" w:eastAsia="黑体" w:cs="黑体"/>
          <w:color w:val="000000" w:themeColor="text1"/>
          <w:sz w:val="72"/>
          <w:szCs w:val="72"/>
        </w:rPr>
      </w:pPr>
      <w:bookmarkStart w:id="1" w:name="_Toc12587"/>
      <w:bookmarkStart w:id="2" w:name="_Toc15378441"/>
      <w:bookmarkStart w:id="3" w:name="_Toc15377425"/>
      <w:bookmarkStart w:id="4" w:name="_Toc15396597"/>
      <w:bookmarkStart w:id="5" w:name="_Toc15377193"/>
      <w:bookmarkStart w:id="6" w:name="_Toc15396475"/>
      <w:r>
        <w:rPr>
          <w:rFonts w:hint="eastAsia" w:ascii="黑体" w:hAnsi="黑体" w:eastAsia="黑体" w:cs="黑体"/>
          <w:color w:val="000000" w:themeColor="text1"/>
          <w:sz w:val="72"/>
          <w:szCs w:val="72"/>
        </w:rPr>
        <w:t>2020年度</w:t>
      </w:r>
      <w:bookmarkEnd w:id="1"/>
      <w:bookmarkEnd w:id="2"/>
      <w:bookmarkEnd w:id="3"/>
      <w:bookmarkEnd w:id="4"/>
      <w:bookmarkEnd w:id="5"/>
      <w:bookmarkEnd w:id="6"/>
    </w:p>
    <w:p>
      <w:pPr>
        <w:adjustRightInd w:val="0"/>
        <w:snapToGrid w:val="0"/>
        <w:spacing w:line="360" w:lineRule="auto"/>
        <w:jc w:val="center"/>
        <w:outlineLvl w:val="0"/>
        <w:rPr>
          <w:rFonts w:ascii="黑体" w:hAnsi="黑体" w:eastAsia="黑体" w:cs="黑体"/>
          <w:color w:val="000000" w:themeColor="text1"/>
          <w:sz w:val="72"/>
          <w:szCs w:val="72"/>
        </w:rPr>
      </w:pPr>
      <w:bookmarkStart w:id="7" w:name="_Toc15377426"/>
      <w:bookmarkStart w:id="8" w:name="_Toc15396598"/>
      <w:bookmarkStart w:id="9" w:name="_Toc15396476"/>
      <w:bookmarkStart w:id="10" w:name="_Toc15377194"/>
      <w:bookmarkStart w:id="11" w:name="_Toc15378442"/>
      <w:bookmarkStart w:id="12" w:name="_Toc20632"/>
      <w:r>
        <w:rPr>
          <w:rFonts w:hint="eastAsia" w:ascii="黑体" w:hAnsi="黑体" w:eastAsia="黑体" w:cs="黑体"/>
          <w:color w:val="000000" w:themeColor="text1"/>
          <w:sz w:val="72"/>
          <w:szCs w:val="72"/>
        </w:rPr>
        <w:t>四川省</w:t>
      </w:r>
      <w:bookmarkEnd w:id="0"/>
      <w:bookmarkStart w:id="13" w:name="_Toc15306268"/>
      <w:r>
        <w:rPr>
          <w:rFonts w:hint="eastAsia" w:ascii="黑体" w:hAnsi="黑体" w:eastAsia="黑体" w:cs="黑体"/>
          <w:color w:val="000000" w:themeColor="text1"/>
          <w:sz w:val="72"/>
          <w:szCs w:val="72"/>
        </w:rPr>
        <w:t>巴中市广播电视台部门决算</w:t>
      </w:r>
      <w:bookmarkEnd w:id="7"/>
      <w:bookmarkEnd w:id="8"/>
      <w:bookmarkEnd w:id="9"/>
      <w:bookmarkEnd w:id="10"/>
      <w:bookmarkEnd w:id="11"/>
      <w:bookmarkEnd w:id="12"/>
      <w:bookmarkEnd w:id="13"/>
    </w:p>
    <w:p>
      <w:pPr>
        <w:widowControl/>
        <w:jc w:val="center"/>
        <w:rPr>
          <w:rFonts w:ascii="黑体" w:hAnsi="黑体" w:eastAsia="黑体"/>
          <w:color w:val="000000"/>
          <w:sz w:val="48"/>
          <w:szCs w:val="4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pPr>
      <w:bookmarkStart w:id="91" w:name="_GoBack"/>
      <w:bookmarkEnd w:id="91"/>
    </w:p>
    <w:p>
      <w:pPr>
        <w:widowControl/>
        <w:jc w:val="center"/>
        <w:rPr>
          <w:rFonts w:ascii="黑体" w:hAnsi="黑体" w:eastAsia="黑体"/>
          <w:sz w:val="28"/>
          <w:szCs w:val="28"/>
        </w:rPr>
      </w:pPr>
      <w:r>
        <w:rPr>
          <w:rFonts w:hint="eastAsia" w:ascii="黑体" w:hAnsi="黑体" w:eastAsia="黑体"/>
          <w:color w:val="000000"/>
          <w:sz w:val="48"/>
          <w:szCs w:val="48"/>
        </w:rPr>
        <w:t>目    录</w:t>
      </w:r>
    </w:p>
    <w:p>
      <w:pPr>
        <w:pStyle w:val="10"/>
        <w:adjustRightInd w:val="0"/>
        <w:snapToGrid w:val="0"/>
        <w:spacing w:before="0" w:line="440" w:lineRule="exact"/>
        <w:jc w:val="center"/>
        <w:rPr>
          <w:rFonts w:hint="eastAsia"/>
        </w:rPr>
      </w:pPr>
      <w:bookmarkStart w:id="14" w:name="_Toc4705"/>
    </w:p>
    <w:p>
      <w:pPr>
        <w:pStyle w:val="10"/>
        <w:adjustRightInd w:val="0"/>
        <w:snapToGrid w:val="0"/>
        <w:spacing w:before="0" w:line="440" w:lineRule="exact"/>
        <w:jc w:val="center"/>
      </w:pPr>
      <w:r>
        <w:rPr>
          <w:rFonts w:hint="eastAsia"/>
        </w:rPr>
        <w:t>公开时间：2021年9月12日</w:t>
      </w:r>
      <w:bookmarkEnd w:id="14"/>
      <w:bookmarkStart w:id="15" w:name="_Toc30935"/>
      <w:bookmarkStart w:id="16" w:name="_Toc15396599"/>
      <w:bookmarkStart w:id="17" w:name="_Toc15377196"/>
    </w:p>
    <w:p>
      <w:pPr>
        <w:pStyle w:val="10"/>
        <w:keepNext w:val="0"/>
        <w:keepLines w:val="0"/>
        <w:pageBreakBefore w:val="0"/>
        <w:widowControl w:val="0"/>
        <w:kinsoku/>
        <w:wordWrap/>
        <w:overflowPunct/>
        <w:topLinePunct w:val="0"/>
        <w:autoSpaceDE/>
        <w:autoSpaceDN/>
        <w:bidi w:val="0"/>
        <w:adjustRightInd w:val="0"/>
        <w:snapToGrid w:val="0"/>
        <w:spacing w:before="0" w:line="360" w:lineRule="exact"/>
        <w:jc w:val="left"/>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rPr>
        <w:t>第一部分 部门概况</w:t>
      </w:r>
    </w:p>
    <w:p>
      <w:pPr>
        <w:pStyle w:val="11"/>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一、基本职能及主要工作</w:t>
      </w:r>
    </w:p>
    <w:p>
      <w:pPr>
        <w:pStyle w:val="11"/>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二、机构设置</w:t>
      </w:r>
    </w:p>
    <w:p>
      <w:pPr>
        <w:pStyle w:val="10"/>
        <w:keepNext w:val="0"/>
        <w:keepLines w:val="0"/>
        <w:pageBreakBefore w:val="0"/>
        <w:widowControl w:val="0"/>
        <w:kinsoku/>
        <w:wordWrap/>
        <w:overflowPunct/>
        <w:topLinePunct w:val="0"/>
        <w:autoSpaceDE/>
        <w:autoSpaceDN/>
        <w:bidi w:val="0"/>
        <w:adjustRightInd w:val="0"/>
        <w:snapToGrid w:val="0"/>
        <w:spacing w:before="0" w:line="360" w:lineRule="exact"/>
        <w:jc w:val="left"/>
        <w:textAlignment w:val="auto"/>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第二部分度部门决算情况说明</w:t>
      </w:r>
    </w:p>
    <w:p>
      <w:pPr>
        <w:pStyle w:val="11"/>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一、收入支出决算总体情况说明</w:t>
      </w:r>
    </w:p>
    <w:p>
      <w:pPr>
        <w:pStyle w:val="11"/>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二、收入决算情况说明</w:t>
      </w:r>
    </w:p>
    <w:p>
      <w:pPr>
        <w:pStyle w:val="11"/>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三、支出决算情况说明</w:t>
      </w:r>
    </w:p>
    <w:p>
      <w:pPr>
        <w:pStyle w:val="11"/>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四、财政拨款收入支出决算总体情况说明</w:t>
      </w:r>
    </w:p>
    <w:p>
      <w:pPr>
        <w:pStyle w:val="11"/>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五、一般公共预算财政拨款支出决算情况说明</w:t>
      </w:r>
    </w:p>
    <w:p>
      <w:pPr>
        <w:pStyle w:val="11"/>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六、一般公共预算财政拨款基本支出决算情况说明</w:t>
      </w:r>
    </w:p>
    <w:p>
      <w:pPr>
        <w:pStyle w:val="11"/>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七、“三公”经费财政拨款支出决算情况说明</w:t>
      </w:r>
    </w:p>
    <w:p>
      <w:pPr>
        <w:pStyle w:val="11"/>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八、政府性基金预算支出决算情况说明</w:t>
      </w:r>
    </w:p>
    <w:p>
      <w:pPr>
        <w:pStyle w:val="11"/>
        <w:keepNext w:val="0"/>
        <w:keepLines w:val="0"/>
        <w:pageBreakBefore w:val="0"/>
        <w:widowControl w:val="0"/>
        <w:kinsoku/>
        <w:wordWrap/>
        <w:overflowPunct/>
        <w:topLinePunct w:val="0"/>
        <w:autoSpaceDE/>
        <w:autoSpaceDN/>
        <w:bidi w:val="0"/>
        <w:adjustRightInd w:val="0"/>
        <w:snapToGrid w:val="0"/>
        <w:spacing w:line="360" w:lineRule="exact"/>
        <w:ind w:leftChars="0"/>
        <w:jc w:val="lef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九、 国有资本经营预算支出决算情况说明</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left"/>
        <w:textAlignment w:val="auto"/>
        <w:rPr>
          <w:rFonts w:hint="eastAsia" w:asciiTheme="majorEastAsia" w:hAnsiTheme="majorEastAsia" w:eastAsiaTheme="majorEastAsia" w:cstheme="majorEastAsia"/>
          <w:sz w:val="24"/>
        </w:rPr>
      </w:pPr>
      <w:r>
        <w:rPr>
          <w:rStyle w:val="16"/>
          <w:rFonts w:hint="eastAsia" w:asciiTheme="majorEastAsia" w:hAnsiTheme="majorEastAsia" w:eastAsiaTheme="majorEastAsia" w:cstheme="majorEastAsia"/>
          <w:color w:val="000000"/>
        </w:rPr>
        <w:t>十、</w:t>
      </w:r>
      <w:r>
        <w:rPr>
          <w:rFonts w:hint="eastAsia" w:asciiTheme="majorEastAsia" w:hAnsiTheme="majorEastAsia" w:eastAsiaTheme="majorEastAsia" w:cstheme="majorEastAsia"/>
          <w:sz w:val="24"/>
        </w:rPr>
        <w:t>其他重要事项的情况说明</w:t>
      </w:r>
      <w:r>
        <w:rPr>
          <w:rFonts w:hint="eastAsia" w:asciiTheme="majorEastAsia" w:hAnsiTheme="majorEastAsia" w:eastAsiaTheme="majorEastAsia" w:cstheme="majorEastAsia"/>
          <w:sz w:val="24"/>
        </w:rPr>
        <w:tab/>
      </w:r>
    </w:p>
    <w:p>
      <w:pPr>
        <w:pStyle w:val="10"/>
        <w:keepNext w:val="0"/>
        <w:keepLines w:val="0"/>
        <w:pageBreakBefore w:val="0"/>
        <w:widowControl w:val="0"/>
        <w:kinsoku/>
        <w:wordWrap/>
        <w:overflowPunct/>
        <w:topLinePunct w:val="0"/>
        <w:autoSpaceDE/>
        <w:autoSpaceDN/>
        <w:bidi w:val="0"/>
        <w:adjustRightInd w:val="0"/>
        <w:snapToGrid w:val="0"/>
        <w:spacing w:before="0" w:line="360" w:lineRule="exact"/>
        <w:jc w:val="left"/>
        <w:textAlignment w:val="auto"/>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第三部分 名词解释</w:t>
      </w:r>
    </w:p>
    <w:p>
      <w:pPr>
        <w:pStyle w:val="10"/>
        <w:keepNext w:val="0"/>
        <w:keepLines w:val="0"/>
        <w:pageBreakBefore w:val="0"/>
        <w:widowControl w:val="0"/>
        <w:kinsoku/>
        <w:wordWrap/>
        <w:overflowPunct/>
        <w:topLinePunct w:val="0"/>
        <w:autoSpaceDE/>
        <w:autoSpaceDN/>
        <w:bidi w:val="0"/>
        <w:adjustRightInd w:val="0"/>
        <w:snapToGrid w:val="0"/>
        <w:spacing w:before="0" w:line="360" w:lineRule="exact"/>
        <w:jc w:val="left"/>
        <w:textAlignment w:val="auto"/>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第四部分 附件</w:t>
      </w:r>
    </w:p>
    <w:p>
      <w:pPr>
        <w:pStyle w:val="11"/>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附件1</w:t>
      </w:r>
    </w:p>
    <w:p>
      <w:pPr>
        <w:pStyle w:val="11"/>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附件2</w:t>
      </w:r>
    </w:p>
    <w:p>
      <w:pPr>
        <w:pStyle w:val="10"/>
        <w:keepNext w:val="0"/>
        <w:keepLines w:val="0"/>
        <w:pageBreakBefore w:val="0"/>
        <w:widowControl w:val="0"/>
        <w:kinsoku/>
        <w:wordWrap/>
        <w:overflowPunct/>
        <w:topLinePunct w:val="0"/>
        <w:autoSpaceDE/>
        <w:autoSpaceDN/>
        <w:bidi w:val="0"/>
        <w:adjustRightInd w:val="0"/>
        <w:snapToGrid w:val="0"/>
        <w:spacing w:before="0" w:line="360" w:lineRule="exact"/>
        <w:jc w:val="left"/>
        <w:textAlignment w:val="auto"/>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第五部分 附表</w:t>
      </w:r>
    </w:p>
    <w:p>
      <w:pPr>
        <w:pStyle w:val="11"/>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一、收入支出决算总表</w:t>
      </w:r>
    </w:p>
    <w:p>
      <w:pPr>
        <w:pStyle w:val="11"/>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二、收入决算表</w:t>
      </w:r>
    </w:p>
    <w:p>
      <w:pPr>
        <w:pStyle w:val="11"/>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三、支出决算表</w:t>
      </w:r>
    </w:p>
    <w:p>
      <w:pPr>
        <w:pStyle w:val="11"/>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四、财政拨款收入支出决算总表</w:t>
      </w:r>
    </w:p>
    <w:p>
      <w:pPr>
        <w:pStyle w:val="11"/>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五、财政拨款支出决算明细表</w:t>
      </w:r>
    </w:p>
    <w:p>
      <w:pPr>
        <w:pStyle w:val="11"/>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六、一般公共预算财政拨款支出决算表</w:t>
      </w:r>
    </w:p>
    <w:p>
      <w:pPr>
        <w:pStyle w:val="11"/>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七、一般公共预算财政拨款支出决算明细表</w:t>
      </w:r>
    </w:p>
    <w:p>
      <w:pPr>
        <w:pStyle w:val="11"/>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八、一般公共预算财政拨款基本支出决算表</w:t>
      </w:r>
    </w:p>
    <w:p>
      <w:pPr>
        <w:pStyle w:val="11"/>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九、一般公共预算财政拨款项目支出决算表</w:t>
      </w:r>
    </w:p>
    <w:p>
      <w:pPr>
        <w:pStyle w:val="11"/>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十、一般公共预算财政拨款“三公”经费支出决算表</w:t>
      </w:r>
    </w:p>
    <w:p>
      <w:pPr>
        <w:pStyle w:val="11"/>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十一、政府性基金预算财政拨款收入支出决算表</w:t>
      </w:r>
    </w:p>
    <w:p>
      <w:pPr>
        <w:pStyle w:val="11"/>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十二、政府性基金预算财政拨款“三公”经费支出决算表</w:t>
      </w:r>
    </w:p>
    <w:p>
      <w:pPr>
        <w:pStyle w:val="11"/>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十三、国有资本经营预算财政拨款收入支出决算表</w:t>
      </w:r>
    </w:p>
    <w:p>
      <w:pPr>
        <w:pStyle w:val="11"/>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十四、国有资本经营预算财政拨款支出决算表</w:t>
      </w:r>
    </w:p>
    <w:p>
      <w:pPr>
        <w:widowControl/>
        <w:jc w:val="center"/>
        <w:outlineLvl w:val="0"/>
        <w:rPr>
          <w:rFonts w:ascii="仿宋_GB2312" w:eastAsia="仿宋_GB2312"/>
          <w:kern w:val="0"/>
          <w:sz w:val="30"/>
        </w:rPr>
      </w:pPr>
    </w:p>
    <w:p>
      <w:pPr>
        <w:pStyle w:val="2"/>
        <w:spacing w:before="93"/>
      </w:pPr>
    </w:p>
    <w:p>
      <w:pPr>
        <w:pStyle w:val="2"/>
        <w:spacing w:before="93"/>
        <w:jc w:val="center"/>
        <w:rPr>
          <w:rFonts w:ascii="黑体" w:hAnsi="黑体" w:eastAsia="黑体"/>
          <w:sz w:val="44"/>
          <w:szCs w:val="48"/>
        </w:rPr>
      </w:pPr>
      <w:r>
        <w:rPr>
          <w:rFonts w:hint="eastAsia" w:ascii="黑体" w:hAnsi="黑体" w:eastAsia="黑体"/>
          <w:sz w:val="44"/>
          <w:szCs w:val="48"/>
        </w:rPr>
        <w:t>第一部分 部门概况</w:t>
      </w:r>
      <w:bookmarkEnd w:id="15"/>
      <w:bookmarkEnd w:id="16"/>
      <w:bookmarkEnd w:id="17"/>
    </w:p>
    <w:p>
      <w:pPr>
        <w:ind w:firstLine="704" w:firstLineChars="220"/>
        <w:outlineLvl w:val="1"/>
        <w:rPr>
          <w:rFonts w:ascii="黑体" w:hAnsi="黑体" w:eastAsia="黑体" w:cs="黑体"/>
          <w:bCs/>
          <w:kern w:val="0"/>
          <w:sz w:val="32"/>
          <w:szCs w:val="32"/>
        </w:rPr>
      </w:pPr>
      <w:bookmarkStart w:id="18" w:name="_Toc15377197"/>
      <w:bookmarkStart w:id="19" w:name="_Toc15396600"/>
      <w:bookmarkStart w:id="20" w:name="_Toc21464"/>
      <w:r>
        <w:rPr>
          <w:rFonts w:hint="eastAsia" w:ascii="黑体" w:hAnsi="黑体" w:eastAsia="黑体" w:cs="黑体"/>
          <w:bCs/>
          <w:kern w:val="0"/>
          <w:sz w:val="32"/>
          <w:szCs w:val="32"/>
        </w:rPr>
        <w:t>一、基本职能及主要工作</w:t>
      </w:r>
      <w:bookmarkEnd w:id="18"/>
      <w:bookmarkEnd w:id="19"/>
      <w:bookmarkEnd w:id="20"/>
    </w:p>
    <w:p>
      <w:pPr>
        <w:ind w:firstLine="704" w:firstLineChars="220"/>
        <w:outlineLvl w:val="2"/>
        <w:rPr>
          <w:rFonts w:ascii="楷体" w:hAnsi="楷体" w:eastAsia="楷体" w:cs="楷体"/>
          <w:kern w:val="0"/>
          <w:sz w:val="32"/>
          <w:szCs w:val="32"/>
        </w:rPr>
      </w:pPr>
      <w:r>
        <w:rPr>
          <w:rFonts w:hint="eastAsia" w:ascii="楷体" w:hAnsi="楷体" w:eastAsia="楷体" w:cs="楷体"/>
          <w:kern w:val="0"/>
          <w:sz w:val="32"/>
          <w:szCs w:val="32"/>
        </w:rPr>
        <w:t>（一）主要职能</w:t>
      </w:r>
    </w:p>
    <w:p>
      <w:pPr>
        <w:widowControl/>
        <w:ind w:firstLine="646" w:firstLineChars="202"/>
        <w:jc w:val="left"/>
        <w:rPr>
          <w:rFonts w:ascii="仿宋" w:hAnsi="仿宋" w:eastAsia="仿宋"/>
          <w:kern w:val="0"/>
          <w:sz w:val="32"/>
          <w:szCs w:val="32"/>
        </w:rPr>
      </w:pPr>
      <w:r>
        <w:rPr>
          <w:rFonts w:hint="eastAsia" w:ascii="仿宋" w:hAnsi="仿宋" w:eastAsia="仿宋"/>
          <w:kern w:val="0"/>
          <w:sz w:val="32"/>
          <w:szCs w:val="32"/>
        </w:rPr>
        <w:t>巴中市广播电视台为市委宣传部管理的全额拨款事业单位，是集巴中电视台、巴中人民广播电台、巴中新报社、新媒体中心于一体的综合性媒体。担负时政、民生新闻制作和传播的工作职能。组织开展对内对外宣传和承担广播电视无线覆盖任务。经营管理所辖媒体广告，开发广播电视产业。</w:t>
      </w:r>
    </w:p>
    <w:p>
      <w:pPr>
        <w:ind w:firstLine="704" w:firstLineChars="220"/>
        <w:outlineLvl w:val="2"/>
        <w:rPr>
          <w:rFonts w:ascii="楷体" w:hAnsi="楷体" w:eastAsia="楷体" w:cs="楷体"/>
          <w:kern w:val="0"/>
          <w:sz w:val="32"/>
          <w:szCs w:val="32"/>
        </w:rPr>
      </w:pPr>
      <w:bookmarkStart w:id="21" w:name="_Toc15378446"/>
      <w:bookmarkStart w:id="22" w:name="_Toc15377199"/>
      <w:r>
        <w:rPr>
          <w:rFonts w:hint="eastAsia" w:ascii="楷体" w:hAnsi="楷体" w:eastAsia="楷体" w:cs="楷体"/>
          <w:kern w:val="0"/>
          <w:sz w:val="32"/>
          <w:szCs w:val="32"/>
        </w:rPr>
        <w:t>（二）2020年重点工作完成情况。</w:t>
      </w:r>
      <w:bookmarkEnd w:id="21"/>
      <w:bookmarkEnd w:id="22"/>
    </w:p>
    <w:p>
      <w:pPr>
        <w:widowControl/>
        <w:ind w:firstLine="646" w:firstLineChars="202"/>
        <w:jc w:val="left"/>
        <w:rPr>
          <w:rFonts w:hint="eastAsia" w:ascii="仿宋" w:hAnsi="仿宋" w:eastAsia="仿宋"/>
          <w:kern w:val="0"/>
          <w:sz w:val="32"/>
          <w:szCs w:val="32"/>
        </w:rPr>
      </w:pPr>
      <w:r>
        <w:rPr>
          <w:rFonts w:hint="eastAsia" w:ascii="仿宋" w:hAnsi="仿宋" w:eastAsia="仿宋"/>
          <w:kern w:val="0"/>
          <w:sz w:val="32"/>
          <w:szCs w:val="32"/>
        </w:rPr>
        <w:t>紧紧围绕市委、市政府重大决策部署，发挥主流媒体传播优势和引领作用，高扬主旋律、打好主动仗，创新抓好新闻宣传，不断营造团结鼓劲向上的氛围。</w:t>
      </w:r>
    </w:p>
    <w:p>
      <w:pPr>
        <w:widowControl/>
        <w:ind w:firstLine="649" w:firstLineChars="202"/>
        <w:jc w:val="left"/>
        <w:rPr>
          <w:rFonts w:ascii="仿宋" w:hAnsi="仿宋" w:eastAsia="仿宋"/>
          <w:b/>
          <w:bCs/>
          <w:kern w:val="0"/>
          <w:sz w:val="32"/>
          <w:szCs w:val="32"/>
        </w:rPr>
      </w:pPr>
      <w:r>
        <w:rPr>
          <w:rFonts w:hint="eastAsia" w:ascii="仿宋" w:hAnsi="仿宋" w:eastAsia="仿宋"/>
          <w:b/>
          <w:bCs/>
          <w:kern w:val="0"/>
          <w:sz w:val="32"/>
          <w:szCs w:val="32"/>
        </w:rPr>
        <w:t>1、提升宣传质量，凝聚发展强大合力</w:t>
      </w:r>
    </w:p>
    <w:p>
      <w:pPr>
        <w:widowControl/>
        <w:ind w:firstLine="646" w:firstLineChars="202"/>
        <w:jc w:val="left"/>
        <w:rPr>
          <w:rFonts w:ascii="仿宋" w:hAnsi="仿宋" w:eastAsia="仿宋"/>
          <w:kern w:val="0"/>
          <w:sz w:val="32"/>
          <w:szCs w:val="32"/>
        </w:rPr>
      </w:pPr>
      <w:r>
        <w:rPr>
          <w:rFonts w:hint="eastAsia" w:ascii="仿宋" w:hAnsi="仿宋" w:eastAsia="仿宋"/>
          <w:kern w:val="0"/>
          <w:sz w:val="32"/>
          <w:szCs w:val="32"/>
        </w:rPr>
        <w:t>切实扛牢媒体责任，紧扣疫情防控、“六稳六保”、脱贫攻坚、文明城市创建等主题主线，全力抓好对内宣传，营造振兴发展良好舆论氛围。一是积极服务全市疫情防控大局，奋力做好新冠疫情防控宣传。二是重磅开展重大项目推进宣传。重点策划并在全台全媒体推出了《鏖战·重大项目推进年》大型系列报道，共播出100多期。三是深入开展决胜脱贫攻坚宣传。在电视、电台、报纸、无线巴中APP先后开设《脱贫攻坚进行时》《脱贫光荣榜》《决胜脱贫攻坚·主播看变化》等专题专栏，对决战决胜脱贫攻坚的举措成效等进行了广泛深入报道。四是扎实开展文明创建宣传。新开设《我的创文故事》专栏，报道文明城市创建中各行各业涌现的先进典型。隆重推出“我的创文故事”有奖征文、“创文宣传进社区”和“我参与·我贡献”创文三大品牌媒体活动，为创文增光添彩。</w:t>
      </w:r>
    </w:p>
    <w:p>
      <w:pPr>
        <w:widowControl/>
        <w:ind w:firstLine="649" w:firstLineChars="202"/>
        <w:jc w:val="left"/>
        <w:rPr>
          <w:rFonts w:hint="eastAsia" w:ascii="仿宋" w:hAnsi="仿宋" w:eastAsia="仿宋"/>
          <w:b/>
          <w:bCs/>
          <w:kern w:val="0"/>
          <w:sz w:val="32"/>
          <w:szCs w:val="32"/>
        </w:rPr>
      </w:pPr>
      <w:r>
        <w:rPr>
          <w:rFonts w:hint="eastAsia" w:ascii="仿宋" w:hAnsi="仿宋" w:eastAsia="仿宋"/>
          <w:b/>
          <w:bCs/>
          <w:kern w:val="0"/>
          <w:sz w:val="32"/>
          <w:szCs w:val="32"/>
        </w:rPr>
        <w:t>2、出新出彩，提升对外宣传影响力</w:t>
      </w:r>
    </w:p>
    <w:p>
      <w:pPr>
        <w:widowControl/>
        <w:ind w:firstLine="646" w:firstLineChars="202"/>
        <w:jc w:val="both"/>
        <w:rPr>
          <w:rFonts w:hint="eastAsia" w:ascii="仿宋" w:hAnsi="仿宋" w:eastAsia="仿宋"/>
          <w:kern w:val="0"/>
          <w:sz w:val="32"/>
          <w:szCs w:val="32"/>
        </w:rPr>
      </w:pPr>
      <w:r>
        <w:rPr>
          <w:rFonts w:hint="eastAsia" w:ascii="仿宋" w:hAnsi="仿宋" w:eastAsia="仿宋"/>
          <w:kern w:val="0"/>
          <w:sz w:val="32"/>
          <w:szCs w:val="32"/>
        </w:rPr>
        <w:t>2020年，外宣工作取得显著成绩，在央视发稿再次突破100条大关，达到115条，其中《新闻联播》9条，《焦点访谈》2期；在川台用稿322条，其中《四川新闻》148条；在《央广网》用稿3条，《中国乡村之声》用稿2条，四川新闻综合广播用稿283条。同时，在央视、川台大屏用稿提升的情况下，实现央视新闻移动网用稿近40条，川台新媒体《四川观察》用稿近100条，极大提升了巴中影响力、美誉度。</w:t>
      </w:r>
    </w:p>
    <w:p>
      <w:pPr>
        <w:widowControl/>
        <w:ind w:firstLine="649" w:firstLineChars="202"/>
        <w:jc w:val="left"/>
        <w:rPr>
          <w:rFonts w:ascii="仿宋" w:hAnsi="仿宋" w:eastAsia="仿宋"/>
          <w:b/>
          <w:bCs/>
          <w:kern w:val="0"/>
          <w:sz w:val="32"/>
          <w:szCs w:val="32"/>
        </w:rPr>
      </w:pPr>
      <w:r>
        <w:rPr>
          <w:rFonts w:hint="eastAsia" w:ascii="仿宋" w:hAnsi="仿宋" w:eastAsia="仿宋"/>
          <w:b/>
          <w:bCs/>
          <w:kern w:val="0"/>
          <w:sz w:val="32"/>
          <w:szCs w:val="32"/>
        </w:rPr>
        <w:t>3、推进媒体融合，构建全媒传播格局</w:t>
      </w:r>
    </w:p>
    <w:p>
      <w:pPr>
        <w:widowControl/>
        <w:ind w:firstLine="646" w:firstLineChars="202"/>
        <w:jc w:val="left"/>
        <w:rPr>
          <w:rFonts w:ascii="仿宋" w:hAnsi="仿宋" w:eastAsia="仿宋"/>
          <w:kern w:val="0"/>
          <w:sz w:val="32"/>
          <w:szCs w:val="32"/>
        </w:rPr>
      </w:pPr>
      <w:r>
        <w:rPr>
          <w:rFonts w:hint="eastAsia" w:ascii="仿宋" w:hAnsi="仿宋" w:eastAsia="仿宋"/>
          <w:kern w:val="0"/>
          <w:sz w:val="32"/>
          <w:szCs w:val="32"/>
        </w:rPr>
        <w:t>确定移动优先战略，大胆探索、积极作为，坚定不移推进媒体深度融合，传播阵地得到拓展，融合新闻生产能力明显提高。一是完善媒体融合机制。1月由我台牵头建设的市融媒体中心开始试运行，创新构架“省级平台技术支撑、市级统筹联动、市区县独立运营”的三级联通融媒体系，通过共建的融媒体技术平台，市融媒体中心可对市、区县两级媒体进行统筹架构，集约建设、分级管理、分离运行，解决了以往区县媒体不同向、不同心的问题，将推促全市宣传质量和水平明显提高。新媒体集群粉丝达到150多万，重点打造了以“直播巴中”为主干的抖音集群，粉丝80万；以“巴中新闻”为主干的微信公众号集群，粉丝18万；以“巴中广播”为主干的微博集群，粉丝10万；“无线巴中”APP用户43万，切实做到大屏小屏集群发声。</w:t>
      </w:r>
    </w:p>
    <w:p>
      <w:pPr>
        <w:ind w:firstLine="704" w:firstLineChars="220"/>
        <w:outlineLvl w:val="1"/>
        <w:rPr>
          <w:rFonts w:ascii="黑体" w:hAnsi="黑体" w:eastAsia="黑体" w:cs="黑体"/>
          <w:bCs/>
          <w:kern w:val="0"/>
          <w:sz w:val="32"/>
          <w:szCs w:val="32"/>
        </w:rPr>
      </w:pPr>
      <w:bookmarkStart w:id="23" w:name="_Toc15396601"/>
      <w:bookmarkStart w:id="24" w:name="_Toc3160"/>
      <w:bookmarkStart w:id="25" w:name="_Toc15377200"/>
      <w:r>
        <w:rPr>
          <w:rFonts w:hint="eastAsia" w:ascii="黑体" w:hAnsi="黑体" w:eastAsia="黑体" w:cs="黑体"/>
          <w:bCs/>
          <w:kern w:val="0"/>
          <w:sz w:val="32"/>
          <w:szCs w:val="32"/>
        </w:rPr>
        <w:t>二、机构设置</w:t>
      </w:r>
      <w:bookmarkEnd w:id="23"/>
      <w:bookmarkEnd w:id="24"/>
      <w:bookmarkEnd w:id="25"/>
    </w:p>
    <w:p>
      <w:pPr>
        <w:widowControl/>
        <w:ind w:firstLine="646" w:firstLineChars="202"/>
        <w:jc w:val="left"/>
        <w:rPr>
          <w:rFonts w:ascii="仿宋" w:hAnsi="仿宋" w:eastAsia="仿宋"/>
          <w:kern w:val="0"/>
          <w:sz w:val="32"/>
          <w:szCs w:val="32"/>
        </w:rPr>
      </w:pPr>
      <w:r>
        <w:rPr>
          <w:rFonts w:hint="eastAsia" w:ascii="仿宋" w:hAnsi="仿宋" w:eastAsia="仿宋"/>
          <w:kern w:val="0"/>
          <w:sz w:val="32"/>
          <w:szCs w:val="32"/>
        </w:rPr>
        <w:t>巴中市广播电视台内设办公室、人力资源部、计划财务部、总编室、电视(新闻、节目、教文)频道、广播电台、电视报社、融媒体中心等20多个职能科室。2020年在岗职工275人，其中：全额财拨人员155人、聘用人员120人。另有退休人员61人。</w:t>
      </w:r>
    </w:p>
    <w:p>
      <w:pPr>
        <w:widowControl/>
        <w:ind w:firstLine="646" w:firstLineChars="202"/>
        <w:jc w:val="left"/>
        <w:rPr>
          <w:rFonts w:ascii="仿宋" w:hAnsi="仿宋" w:eastAsia="仿宋"/>
          <w:kern w:val="0"/>
          <w:sz w:val="32"/>
          <w:szCs w:val="32"/>
        </w:rPr>
      </w:pPr>
      <w:r>
        <w:rPr>
          <w:rFonts w:hint="eastAsia" w:ascii="仿宋" w:hAnsi="仿宋" w:eastAsia="仿宋"/>
          <w:kern w:val="0"/>
          <w:sz w:val="32"/>
          <w:szCs w:val="32"/>
        </w:rPr>
        <w:t>巴中市广播电视台实行综合预算管理制度，全部收入、支出均纳入预算管理，为市级财政一级预算单位，无下属二级预算单位。</w:t>
      </w:r>
    </w:p>
    <w:p>
      <w:pPr>
        <w:ind w:firstLine="880" w:firstLineChars="220"/>
        <w:outlineLvl w:val="0"/>
        <w:rPr>
          <w:rFonts w:ascii="黑体" w:hAnsi="黑体" w:eastAsia="黑体"/>
          <w:bCs/>
          <w:kern w:val="0"/>
          <w:sz w:val="40"/>
          <w:szCs w:val="40"/>
        </w:rPr>
      </w:pPr>
      <w:bookmarkStart w:id="26" w:name="_Toc15377204"/>
      <w:bookmarkStart w:id="27" w:name="_Toc8382"/>
      <w:bookmarkStart w:id="28" w:name="_Toc15396602"/>
      <w:r>
        <w:rPr>
          <w:rFonts w:hint="eastAsia" w:ascii="黑体" w:hAnsi="黑体" w:eastAsia="黑体"/>
          <w:kern w:val="0"/>
          <w:sz w:val="40"/>
          <w:szCs w:val="40"/>
        </w:rPr>
        <w:t>第二部分</w:t>
      </w:r>
      <w:r>
        <w:rPr>
          <w:rFonts w:hint="eastAsia" w:ascii="黑体" w:hAnsi="黑体" w:eastAsia="黑体"/>
          <w:bCs/>
          <w:kern w:val="0"/>
          <w:sz w:val="40"/>
          <w:szCs w:val="40"/>
        </w:rPr>
        <w:t>2020年度部门决算情况说明</w:t>
      </w:r>
      <w:bookmarkEnd w:id="26"/>
      <w:bookmarkEnd w:id="27"/>
      <w:bookmarkEnd w:id="28"/>
    </w:p>
    <w:p>
      <w:pPr>
        <w:ind w:firstLine="704" w:firstLineChars="220"/>
        <w:outlineLvl w:val="1"/>
        <w:rPr>
          <w:rFonts w:ascii="黑体" w:hAnsi="黑体" w:eastAsia="黑体" w:cs="黑体"/>
          <w:bCs/>
          <w:kern w:val="0"/>
          <w:sz w:val="32"/>
          <w:szCs w:val="32"/>
        </w:rPr>
      </w:pPr>
      <w:bookmarkStart w:id="29" w:name="_Toc15377205"/>
      <w:bookmarkStart w:id="30" w:name="_Toc6798"/>
      <w:bookmarkStart w:id="31" w:name="_Toc15396603"/>
      <w:r>
        <w:rPr>
          <w:rFonts w:hint="eastAsia" w:ascii="黑体" w:hAnsi="黑体" w:eastAsia="黑体" w:cs="黑体"/>
          <w:bCs/>
          <w:kern w:val="0"/>
          <w:sz w:val="32"/>
          <w:szCs w:val="32"/>
        </w:rPr>
        <w:t>一、收入支出决算总体情况说明</w:t>
      </w:r>
      <w:bookmarkEnd w:id="29"/>
      <w:bookmarkEnd w:id="30"/>
      <w:bookmarkEnd w:id="31"/>
    </w:p>
    <w:p>
      <w:pPr>
        <w:widowControl/>
        <w:ind w:firstLine="646" w:firstLineChars="202"/>
        <w:jc w:val="left"/>
        <w:rPr>
          <w:rFonts w:ascii="仿宋" w:hAnsi="仿宋" w:eastAsia="仿宋"/>
          <w:kern w:val="0"/>
          <w:sz w:val="32"/>
          <w:szCs w:val="32"/>
        </w:rPr>
      </w:pPr>
      <w:r>
        <w:rPr>
          <w:rFonts w:hint="eastAsia" w:ascii="仿宋" w:hAnsi="仿宋" w:eastAsia="仿宋"/>
          <w:kern w:val="0"/>
          <w:sz w:val="32"/>
          <w:szCs w:val="32"/>
        </w:rPr>
        <w:t>2020年度收、支总计5513.52万元。与2019年相比，收、支总计各增加120.93万元，增长2.24%。主要是一般公共预算财政拨款收入增加。（图1：收、支决算总计变动情况图）</w:t>
      </w:r>
    </w:p>
    <w:p>
      <w:pPr>
        <w:ind w:firstLine="707" w:firstLineChars="221"/>
        <w:rPr>
          <w:rFonts w:ascii="仿宋" w:hAnsi="仿宋" w:eastAsia="仿宋"/>
          <w:sz w:val="32"/>
          <w:szCs w:val="32"/>
        </w:rPr>
      </w:pPr>
      <w:r>
        <w:rPr>
          <w:rFonts w:ascii="仿宋" w:hAnsi="仿宋" w:eastAsia="仿宋"/>
          <w:sz w:val="32"/>
          <w:szCs w:val="32"/>
        </w:rPr>
        <w:drawing>
          <wp:inline distT="0" distB="0" distL="0" distR="0">
            <wp:extent cx="4371975" cy="2465705"/>
            <wp:effectExtent l="4445" t="5080" r="5080" b="5715"/>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500" w:lineRule="exact"/>
        <w:ind w:firstLine="704" w:firstLineChars="220"/>
        <w:outlineLvl w:val="1"/>
        <w:rPr>
          <w:rFonts w:ascii="黑体" w:hAnsi="黑体" w:eastAsia="黑体" w:cs="黑体"/>
          <w:bCs/>
          <w:kern w:val="0"/>
          <w:sz w:val="32"/>
          <w:szCs w:val="32"/>
        </w:rPr>
      </w:pPr>
      <w:bookmarkStart w:id="32" w:name="_Toc15396604"/>
      <w:bookmarkStart w:id="33" w:name="_Toc30212"/>
      <w:bookmarkStart w:id="34" w:name="_Toc15377206"/>
      <w:r>
        <w:rPr>
          <w:rFonts w:hint="eastAsia" w:ascii="黑体" w:hAnsi="黑体" w:eastAsia="黑体" w:cs="黑体"/>
          <w:bCs/>
          <w:kern w:val="0"/>
          <w:sz w:val="32"/>
          <w:szCs w:val="32"/>
        </w:rPr>
        <w:t>二、收入决算情况说明</w:t>
      </w:r>
      <w:bookmarkEnd w:id="32"/>
      <w:bookmarkEnd w:id="33"/>
      <w:bookmarkEnd w:id="34"/>
    </w:p>
    <w:p>
      <w:pPr>
        <w:widowControl/>
        <w:ind w:firstLine="646" w:firstLineChars="202"/>
        <w:jc w:val="left"/>
        <w:rPr>
          <w:rFonts w:ascii="仿宋" w:hAnsi="仿宋" w:eastAsia="仿宋"/>
          <w:kern w:val="0"/>
          <w:sz w:val="32"/>
          <w:szCs w:val="32"/>
        </w:rPr>
      </w:pPr>
      <w:r>
        <w:rPr>
          <w:rFonts w:hint="eastAsia" w:ascii="仿宋" w:hAnsi="仿宋" w:eastAsia="仿宋"/>
          <w:kern w:val="0"/>
          <w:sz w:val="32"/>
          <w:szCs w:val="32"/>
        </w:rPr>
        <w:t>2020年收入合计4846.24万元，其中：一般公共预算财政拨款收入3090.03万元，占63.76%；事业非税收入1756.21万元，占36.24%。（图2：收入决算结构图）</w:t>
      </w:r>
    </w:p>
    <w:p>
      <w:pPr>
        <w:ind w:firstLine="707" w:firstLineChars="221"/>
        <w:rPr>
          <w:rFonts w:ascii="仿宋" w:hAnsi="仿宋" w:eastAsia="仿宋"/>
          <w:sz w:val="32"/>
          <w:szCs w:val="32"/>
        </w:rPr>
      </w:pPr>
      <w:r>
        <w:rPr>
          <w:rFonts w:ascii="仿宋" w:hAnsi="仿宋" w:eastAsia="仿宋"/>
          <w:sz w:val="32"/>
          <w:szCs w:val="32"/>
        </w:rPr>
        <w:drawing>
          <wp:inline distT="0" distB="0" distL="0" distR="0">
            <wp:extent cx="4467225" cy="2395855"/>
            <wp:effectExtent l="4445" t="4445" r="5080" b="19050"/>
            <wp:docPr id="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ind w:firstLine="704" w:firstLineChars="220"/>
        <w:outlineLvl w:val="1"/>
        <w:rPr>
          <w:rFonts w:ascii="黑体" w:hAnsi="黑体" w:eastAsia="黑体" w:cs="黑体"/>
          <w:bCs/>
          <w:kern w:val="0"/>
          <w:sz w:val="32"/>
          <w:szCs w:val="32"/>
        </w:rPr>
      </w:pPr>
      <w:bookmarkStart w:id="35" w:name="_Toc15377207"/>
      <w:bookmarkStart w:id="36" w:name="_Toc15396605"/>
      <w:bookmarkStart w:id="37" w:name="_Toc32539"/>
      <w:r>
        <w:rPr>
          <w:rFonts w:hint="eastAsia" w:ascii="黑体" w:hAnsi="黑体" w:eastAsia="黑体" w:cs="黑体"/>
          <w:bCs/>
          <w:kern w:val="0"/>
          <w:sz w:val="32"/>
          <w:szCs w:val="32"/>
        </w:rPr>
        <w:t>三、支出决算情况说明</w:t>
      </w:r>
      <w:bookmarkEnd w:id="35"/>
      <w:bookmarkEnd w:id="36"/>
      <w:bookmarkEnd w:id="37"/>
    </w:p>
    <w:p>
      <w:pPr>
        <w:widowControl/>
        <w:ind w:firstLine="646" w:firstLineChars="202"/>
        <w:jc w:val="left"/>
        <w:rPr>
          <w:rFonts w:ascii="仿宋" w:hAnsi="仿宋" w:eastAsia="仿宋"/>
          <w:kern w:val="0"/>
          <w:sz w:val="32"/>
          <w:szCs w:val="32"/>
        </w:rPr>
      </w:pPr>
      <w:r>
        <w:rPr>
          <w:rFonts w:hint="eastAsia" w:ascii="仿宋" w:hAnsi="仿宋" w:eastAsia="仿宋"/>
          <w:kern w:val="0"/>
          <w:sz w:val="32"/>
          <w:szCs w:val="32"/>
        </w:rPr>
        <w:t>2020年支出合计5319.53万元，其中：基本支出2910.73万元，占54.72%；项目支出2408.80万元，占46.28%。（图3：支出决算结构图）</w:t>
      </w:r>
    </w:p>
    <w:p>
      <w:pPr>
        <w:pStyle w:val="2"/>
        <w:spacing w:before="93"/>
        <w:ind w:firstLine="663" w:firstLineChars="221"/>
      </w:pPr>
      <w:r>
        <w:drawing>
          <wp:inline distT="0" distB="0" distL="0" distR="0">
            <wp:extent cx="4331970" cy="2013585"/>
            <wp:effectExtent l="4445" t="5080" r="6985" b="19685"/>
            <wp:docPr id="1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500" w:lineRule="exact"/>
        <w:ind w:firstLine="704" w:firstLineChars="220"/>
        <w:outlineLvl w:val="1"/>
        <w:rPr>
          <w:rFonts w:ascii="黑体" w:hAnsi="黑体" w:eastAsia="黑体" w:cs="黑体"/>
          <w:bCs/>
          <w:kern w:val="0"/>
          <w:sz w:val="32"/>
          <w:szCs w:val="32"/>
        </w:rPr>
      </w:pPr>
      <w:bookmarkStart w:id="38" w:name="_Toc15396606"/>
      <w:bookmarkStart w:id="39" w:name="_Toc28381"/>
      <w:bookmarkStart w:id="40" w:name="_Toc15377208"/>
      <w:r>
        <w:rPr>
          <w:rFonts w:hint="eastAsia" w:ascii="黑体" w:hAnsi="黑体" w:eastAsia="黑体" w:cs="黑体"/>
          <w:bCs/>
          <w:kern w:val="0"/>
          <w:sz w:val="32"/>
          <w:szCs w:val="32"/>
        </w:rPr>
        <w:t>四、财政拨款收入支出决算总体情况说明</w:t>
      </w:r>
      <w:bookmarkEnd w:id="38"/>
      <w:bookmarkEnd w:id="39"/>
      <w:bookmarkEnd w:id="40"/>
    </w:p>
    <w:p>
      <w:pPr>
        <w:widowControl/>
        <w:ind w:firstLine="646" w:firstLineChars="202"/>
        <w:jc w:val="left"/>
        <w:rPr>
          <w:rFonts w:ascii="仿宋" w:hAnsi="仿宋" w:eastAsia="仿宋"/>
          <w:kern w:val="0"/>
          <w:sz w:val="32"/>
          <w:szCs w:val="32"/>
        </w:rPr>
      </w:pPr>
      <w:r>
        <w:rPr>
          <w:rFonts w:hint="eastAsia" w:ascii="仿宋" w:hAnsi="仿宋" w:eastAsia="仿宋"/>
          <w:kern w:val="0"/>
          <w:sz w:val="32"/>
          <w:szCs w:val="32"/>
        </w:rPr>
        <w:t>2020年财政拨款收、支总计5513.52万元。与2019年相比，财政拨款收、支总计各增加120.93万元，增长2.24%。主要变动原因是一般公共服务支出增加。（图4：财政拨款收、支决算总计变动情况）</w:t>
      </w:r>
    </w:p>
    <w:p>
      <w:pPr>
        <w:pStyle w:val="2"/>
        <w:spacing w:before="93"/>
        <w:ind w:firstLine="660" w:firstLineChars="220"/>
      </w:pPr>
      <w:r>
        <w:drawing>
          <wp:inline distT="0" distB="0" distL="0" distR="0">
            <wp:extent cx="4396105" cy="2297430"/>
            <wp:effectExtent l="4445" t="4445" r="19050" b="22225"/>
            <wp:docPr id="1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ind w:firstLine="704" w:firstLineChars="220"/>
        <w:outlineLvl w:val="1"/>
        <w:rPr>
          <w:rFonts w:ascii="黑体" w:hAnsi="黑体" w:eastAsia="黑体" w:cs="黑体"/>
          <w:bCs/>
          <w:kern w:val="0"/>
          <w:sz w:val="32"/>
          <w:szCs w:val="32"/>
        </w:rPr>
      </w:pPr>
      <w:bookmarkStart w:id="41" w:name="_Toc15377209"/>
      <w:bookmarkStart w:id="42" w:name="_Toc15396607"/>
      <w:bookmarkStart w:id="43" w:name="_Toc9781"/>
      <w:r>
        <w:rPr>
          <w:rFonts w:hint="eastAsia" w:ascii="黑体" w:hAnsi="黑体" w:eastAsia="黑体" w:cs="黑体"/>
          <w:bCs/>
          <w:kern w:val="0"/>
          <w:sz w:val="32"/>
          <w:szCs w:val="32"/>
        </w:rPr>
        <w:t>五、一般公共预算财政拨款支出决算情况说明</w:t>
      </w:r>
      <w:bookmarkEnd w:id="41"/>
      <w:bookmarkEnd w:id="42"/>
      <w:bookmarkEnd w:id="43"/>
    </w:p>
    <w:p>
      <w:pPr>
        <w:ind w:firstLine="704" w:firstLineChars="220"/>
        <w:outlineLvl w:val="2"/>
        <w:rPr>
          <w:rFonts w:ascii="楷体" w:hAnsi="楷体" w:eastAsia="楷体" w:cs="楷体"/>
          <w:sz w:val="32"/>
          <w:szCs w:val="32"/>
        </w:rPr>
      </w:pPr>
      <w:bookmarkStart w:id="44" w:name="_Toc15377210"/>
      <w:r>
        <w:rPr>
          <w:rFonts w:hint="eastAsia" w:ascii="楷体" w:hAnsi="楷体" w:eastAsia="楷体" w:cs="楷体"/>
          <w:sz w:val="32"/>
          <w:szCs w:val="32"/>
        </w:rPr>
        <w:t>（一）一般公共预算财政拨款支出决算总体情况</w:t>
      </w:r>
      <w:bookmarkEnd w:id="44"/>
    </w:p>
    <w:p>
      <w:pPr>
        <w:widowControl/>
        <w:ind w:firstLine="646" w:firstLineChars="202"/>
        <w:jc w:val="left"/>
        <w:rPr>
          <w:rFonts w:ascii="仿宋" w:hAnsi="仿宋" w:eastAsia="仿宋"/>
          <w:kern w:val="0"/>
          <w:sz w:val="32"/>
          <w:szCs w:val="32"/>
        </w:rPr>
      </w:pPr>
      <w:r>
        <w:rPr>
          <w:rFonts w:hint="eastAsia" w:ascii="仿宋" w:hAnsi="仿宋" w:eastAsia="仿宋"/>
          <w:kern w:val="0"/>
          <w:sz w:val="32"/>
          <w:szCs w:val="32"/>
        </w:rPr>
        <w:t>2020年一般公共预算财政拨款支出5319.53万元，占本年支出合计的100%。与2019年相比增加支出594.21万元，增长12.57%。主要变动原因是：一般公共服务支出增加13.52万元、教育支出减少0.50万元、文化旅游体育与传媒支出增加515.01万元、社会保障和就业支出减少3.60万元、卫生健康支出增加8.04万元、农林水支出减少5万元、住房保障支出增加66.74万元。（图5：一般公共预算财政拨款支出决算变动情况）</w:t>
      </w:r>
    </w:p>
    <w:p>
      <w:pPr>
        <w:pStyle w:val="2"/>
        <w:spacing w:before="93"/>
        <w:ind w:firstLine="660" w:firstLineChars="220"/>
      </w:pPr>
      <w:r>
        <w:drawing>
          <wp:inline distT="0" distB="0" distL="0" distR="0">
            <wp:extent cx="4543425" cy="2419985"/>
            <wp:effectExtent l="4445" t="4445" r="5080" b="13970"/>
            <wp:docPr id="1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ind w:firstLine="704" w:firstLineChars="220"/>
        <w:outlineLvl w:val="2"/>
        <w:rPr>
          <w:rFonts w:ascii="楷体" w:hAnsi="楷体" w:eastAsia="楷体" w:cs="楷体"/>
          <w:sz w:val="32"/>
          <w:szCs w:val="32"/>
        </w:rPr>
      </w:pPr>
      <w:bookmarkStart w:id="45" w:name="_Toc15377211"/>
      <w:r>
        <w:rPr>
          <w:rFonts w:hint="eastAsia" w:ascii="楷体" w:hAnsi="楷体" w:eastAsia="楷体" w:cs="楷体"/>
          <w:sz w:val="32"/>
          <w:szCs w:val="32"/>
        </w:rPr>
        <w:t>（二）一般公共预算财政拨款支出决算结构情况</w:t>
      </w:r>
      <w:bookmarkEnd w:id="45"/>
    </w:p>
    <w:p>
      <w:pPr>
        <w:widowControl/>
        <w:ind w:firstLine="646" w:firstLineChars="202"/>
        <w:rPr>
          <w:rFonts w:ascii="仿宋" w:hAnsi="仿宋" w:eastAsia="仿宋"/>
          <w:kern w:val="0"/>
          <w:sz w:val="32"/>
          <w:szCs w:val="32"/>
        </w:rPr>
      </w:pPr>
      <w:r>
        <w:rPr>
          <w:rFonts w:hint="eastAsia" w:ascii="仿宋" w:hAnsi="仿宋" w:eastAsia="仿宋"/>
          <w:kern w:val="0"/>
          <w:sz w:val="32"/>
          <w:szCs w:val="32"/>
        </w:rPr>
        <w:t>2020年一般公共预算财政拨款支出5319.53万元，主要用于以下方面:一般公共服务支出162万元，占3.05%；教育支出4.50万元，占0.08%；文化旅游体育与传媒支出4690.13万元，占88.17%；社会保障和就业支出183.85万元，占3.46%；卫生健康支出92.18万元，占1.73%；住房保障支出186.87万元，占3.51%。（图6：一般公共预算财政拨款支出决算结构）</w:t>
      </w:r>
    </w:p>
    <w:p>
      <w:pPr>
        <w:pStyle w:val="2"/>
        <w:spacing w:before="93"/>
        <w:ind w:firstLine="708" w:firstLineChars="236"/>
      </w:pPr>
      <w:r>
        <w:drawing>
          <wp:inline distT="0" distB="0" distL="0" distR="0">
            <wp:extent cx="4572000" cy="2591435"/>
            <wp:effectExtent l="4445" t="4445" r="14605" b="13970"/>
            <wp:docPr id="13"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ind w:firstLine="704" w:firstLineChars="220"/>
        <w:outlineLvl w:val="2"/>
        <w:rPr>
          <w:rFonts w:ascii="楷体" w:hAnsi="楷体" w:eastAsia="楷体" w:cs="楷体"/>
          <w:sz w:val="32"/>
          <w:szCs w:val="32"/>
        </w:rPr>
      </w:pPr>
      <w:bookmarkStart w:id="46" w:name="_Toc15377212"/>
      <w:r>
        <w:rPr>
          <w:rFonts w:hint="eastAsia" w:ascii="楷体" w:hAnsi="楷体" w:eastAsia="楷体" w:cs="楷体"/>
          <w:sz w:val="32"/>
          <w:szCs w:val="32"/>
        </w:rPr>
        <w:t>（三）一般公共预算财政拨款支出决算具体情况</w:t>
      </w:r>
      <w:bookmarkEnd w:id="46"/>
    </w:p>
    <w:p>
      <w:pPr>
        <w:ind w:firstLine="704" w:firstLineChars="220"/>
        <w:rPr>
          <w:rFonts w:ascii="仿宋" w:hAnsi="仿宋" w:eastAsia="仿宋"/>
          <w:sz w:val="32"/>
          <w:szCs w:val="32"/>
        </w:rPr>
      </w:pPr>
      <w:bookmarkStart w:id="47" w:name="_Toc15377444"/>
      <w:bookmarkStart w:id="48" w:name="_Toc15377213"/>
      <w:bookmarkStart w:id="49" w:name="_Toc15378460"/>
      <w:r>
        <w:rPr>
          <w:rFonts w:hint="eastAsia" w:ascii="仿宋" w:hAnsi="仿宋" w:eastAsia="仿宋"/>
          <w:sz w:val="32"/>
          <w:szCs w:val="32"/>
        </w:rPr>
        <w:t>2020年般公共预算支出决算数为5319.53万元，完成预算96.48</w:t>
      </w:r>
      <w:r>
        <w:rPr>
          <w:rFonts w:ascii="仿宋" w:hAnsi="仿宋" w:eastAsia="仿宋"/>
          <w:sz w:val="32"/>
          <w:szCs w:val="32"/>
        </w:rPr>
        <w:t>%</w:t>
      </w:r>
      <w:r>
        <w:rPr>
          <w:rFonts w:hint="eastAsia" w:ascii="仿宋" w:hAnsi="仿宋" w:eastAsia="仿宋"/>
          <w:sz w:val="32"/>
          <w:szCs w:val="32"/>
        </w:rPr>
        <w:t>。其中：</w:t>
      </w:r>
      <w:bookmarkEnd w:id="47"/>
      <w:bookmarkEnd w:id="48"/>
      <w:bookmarkEnd w:id="49"/>
    </w:p>
    <w:p>
      <w:pPr>
        <w:widowControl/>
        <w:ind w:firstLine="646" w:firstLineChars="202"/>
        <w:jc w:val="left"/>
        <w:rPr>
          <w:rFonts w:ascii="仿宋" w:hAnsi="仿宋" w:eastAsia="仿宋"/>
          <w:kern w:val="0"/>
          <w:sz w:val="32"/>
          <w:szCs w:val="32"/>
        </w:rPr>
      </w:pPr>
      <w:r>
        <w:rPr>
          <w:rFonts w:hint="eastAsia" w:ascii="仿宋" w:hAnsi="仿宋" w:eastAsia="仿宋"/>
          <w:kern w:val="0"/>
          <w:sz w:val="32"/>
          <w:szCs w:val="32"/>
        </w:rPr>
        <w:t>1、一般公共服务支出（类）宣传事务（款）其他宣传事务支出（项）:支出决算为162万元，完成预算100%。</w:t>
      </w:r>
    </w:p>
    <w:p>
      <w:pPr>
        <w:widowControl/>
        <w:ind w:firstLine="646" w:firstLineChars="202"/>
        <w:jc w:val="left"/>
        <w:rPr>
          <w:rFonts w:ascii="仿宋" w:hAnsi="仿宋" w:eastAsia="仿宋"/>
          <w:kern w:val="0"/>
          <w:sz w:val="32"/>
          <w:szCs w:val="32"/>
        </w:rPr>
      </w:pPr>
      <w:r>
        <w:rPr>
          <w:rFonts w:hint="eastAsia" w:ascii="仿宋" w:hAnsi="仿宋" w:eastAsia="仿宋"/>
          <w:kern w:val="0"/>
          <w:sz w:val="32"/>
          <w:szCs w:val="32"/>
        </w:rPr>
        <w:t>2、教育支出（类）进修及培训（款）培训支出（项）:支出决算为4.50万元，完成预算100%。</w:t>
      </w:r>
    </w:p>
    <w:p>
      <w:pPr>
        <w:widowControl/>
        <w:ind w:firstLine="646" w:firstLineChars="202"/>
        <w:jc w:val="left"/>
        <w:rPr>
          <w:rFonts w:ascii="仿宋" w:hAnsi="仿宋" w:eastAsia="仿宋"/>
          <w:kern w:val="0"/>
          <w:sz w:val="32"/>
          <w:szCs w:val="32"/>
        </w:rPr>
      </w:pPr>
      <w:r>
        <w:rPr>
          <w:rFonts w:hint="eastAsia" w:ascii="仿宋" w:hAnsi="仿宋" w:eastAsia="仿宋"/>
          <w:kern w:val="0"/>
          <w:sz w:val="32"/>
          <w:szCs w:val="32"/>
        </w:rPr>
        <w:t>3、文化旅游体育与传媒（类）广播电视（款）电视（项）:支出决算为4325.23万元，完成预算95.71%，</w:t>
      </w:r>
    </w:p>
    <w:p>
      <w:pPr>
        <w:widowControl/>
        <w:ind w:firstLine="646" w:firstLineChars="202"/>
        <w:jc w:val="left"/>
        <w:rPr>
          <w:rFonts w:ascii="仿宋" w:hAnsi="仿宋" w:eastAsia="仿宋"/>
          <w:kern w:val="0"/>
          <w:sz w:val="32"/>
          <w:szCs w:val="32"/>
        </w:rPr>
      </w:pPr>
      <w:r>
        <w:rPr>
          <w:rFonts w:hint="eastAsia" w:ascii="仿宋" w:hAnsi="仿宋" w:eastAsia="仿宋"/>
          <w:kern w:val="0"/>
          <w:sz w:val="32"/>
          <w:szCs w:val="32"/>
        </w:rPr>
        <w:t>4、文化旅游体育与传媒（类）广播电视（款）其他广播电视支出（项）:支出决算为4.90万元，完成预算100%。</w:t>
      </w:r>
    </w:p>
    <w:p>
      <w:pPr>
        <w:widowControl/>
        <w:ind w:firstLine="646" w:firstLineChars="202"/>
        <w:jc w:val="left"/>
        <w:rPr>
          <w:rFonts w:ascii="仿宋" w:hAnsi="仿宋" w:eastAsia="仿宋"/>
          <w:kern w:val="0"/>
          <w:sz w:val="32"/>
          <w:szCs w:val="32"/>
        </w:rPr>
      </w:pPr>
      <w:r>
        <w:rPr>
          <w:rFonts w:hint="eastAsia" w:ascii="仿宋" w:hAnsi="仿宋" w:eastAsia="仿宋"/>
          <w:kern w:val="0"/>
          <w:sz w:val="32"/>
          <w:szCs w:val="32"/>
        </w:rPr>
        <w:t>5、文化旅游体育与传媒（类）其他文化体育与传媒支出（款）其他文化体育与传媒支出（项）:支出决算为360万元，完成预算100%，</w:t>
      </w:r>
    </w:p>
    <w:p>
      <w:pPr>
        <w:widowControl/>
        <w:ind w:firstLine="646" w:firstLineChars="202"/>
        <w:rPr>
          <w:rFonts w:ascii="仿宋" w:hAnsi="仿宋" w:eastAsia="仿宋"/>
          <w:kern w:val="0"/>
          <w:sz w:val="32"/>
          <w:szCs w:val="32"/>
        </w:rPr>
      </w:pPr>
      <w:r>
        <w:rPr>
          <w:rFonts w:hint="eastAsia" w:ascii="仿宋" w:hAnsi="仿宋" w:eastAsia="仿宋"/>
          <w:kern w:val="0"/>
          <w:sz w:val="32"/>
          <w:szCs w:val="32"/>
        </w:rPr>
        <w:t>6、社会保障和就业（类）行政事业单位养老支出（款）事业单位离退休（项）:支出决算为14.64万元，完成预算100%。</w:t>
      </w:r>
    </w:p>
    <w:p>
      <w:pPr>
        <w:widowControl/>
        <w:ind w:firstLine="646" w:firstLineChars="202"/>
        <w:rPr>
          <w:rFonts w:ascii="仿宋" w:hAnsi="仿宋" w:eastAsia="仿宋"/>
          <w:kern w:val="0"/>
          <w:sz w:val="32"/>
          <w:szCs w:val="32"/>
        </w:rPr>
      </w:pPr>
      <w:r>
        <w:rPr>
          <w:rFonts w:hint="eastAsia" w:ascii="仿宋" w:hAnsi="仿宋" w:eastAsia="仿宋"/>
          <w:kern w:val="0"/>
          <w:sz w:val="32"/>
          <w:szCs w:val="32"/>
        </w:rPr>
        <w:t>7、社会保障和就业（类）行政事业单位退休（款）机关事业单位基本养老保险缴费支出（项）:支出决算为158.12万元，完成预算100%。</w:t>
      </w:r>
    </w:p>
    <w:p>
      <w:pPr>
        <w:widowControl/>
        <w:ind w:firstLine="646" w:firstLineChars="202"/>
        <w:rPr>
          <w:rFonts w:ascii="仿宋" w:hAnsi="仿宋" w:eastAsia="仿宋"/>
          <w:kern w:val="0"/>
          <w:sz w:val="32"/>
          <w:szCs w:val="32"/>
        </w:rPr>
      </w:pPr>
      <w:r>
        <w:rPr>
          <w:rFonts w:hint="eastAsia" w:ascii="仿宋" w:hAnsi="仿宋" w:eastAsia="仿宋"/>
          <w:kern w:val="0"/>
          <w:sz w:val="32"/>
          <w:szCs w:val="32"/>
        </w:rPr>
        <w:t>8、社会保障和就业（类）行政事业单位退休（款）其他行政事业单位养老支出（项）:支出决算为3.30万元，完成预算100%。</w:t>
      </w:r>
    </w:p>
    <w:p>
      <w:pPr>
        <w:widowControl/>
        <w:ind w:firstLine="646" w:firstLineChars="202"/>
        <w:jc w:val="left"/>
        <w:rPr>
          <w:rFonts w:ascii="仿宋" w:hAnsi="仿宋" w:eastAsia="仿宋"/>
          <w:kern w:val="0"/>
          <w:sz w:val="32"/>
          <w:szCs w:val="32"/>
        </w:rPr>
      </w:pPr>
      <w:r>
        <w:rPr>
          <w:rFonts w:hint="eastAsia" w:ascii="仿宋" w:hAnsi="仿宋" w:eastAsia="仿宋"/>
          <w:kern w:val="0"/>
          <w:sz w:val="32"/>
          <w:szCs w:val="32"/>
        </w:rPr>
        <w:t>9、社会保障和就业（类）抚恤（款）死亡抚恤（项）:支出决算为7.10万元，完成预算100%。</w:t>
      </w:r>
    </w:p>
    <w:p>
      <w:pPr>
        <w:widowControl/>
        <w:ind w:firstLine="646" w:firstLineChars="202"/>
        <w:jc w:val="left"/>
        <w:rPr>
          <w:rFonts w:ascii="仿宋" w:hAnsi="仿宋" w:eastAsia="仿宋"/>
          <w:kern w:val="0"/>
          <w:sz w:val="32"/>
          <w:szCs w:val="32"/>
        </w:rPr>
      </w:pPr>
      <w:r>
        <w:rPr>
          <w:rFonts w:hint="eastAsia" w:ascii="仿宋" w:hAnsi="仿宋" w:eastAsia="仿宋"/>
          <w:kern w:val="0"/>
          <w:sz w:val="32"/>
          <w:szCs w:val="32"/>
        </w:rPr>
        <w:t>10、社会保障和就业（类）抚恤（款）伤残抚恤（项）:支出决算为0.70万元，完成预算100%。</w:t>
      </w:r>
    </w:p>
    <w:p>
      <w:pPr>
        <w:widowControl/>
        <w:ind w:firstLine="646" w:firstLineChars="202"/>
        <w:jc w:val="left"/>
        <w:rPr>
          <w:rFonts w:ascii="仿宋" w:hAnsi="仿宋" w:eastAsia="仿宋"/>
          <w:kern w:val="0"/>
          <w:sz w:val="32"/>
          <w:szCs w:val="32"/>
        </w:rPr>
      </w:pPr>
      <w:r>
        <w:rPr>
          <w:rFonts w:hint="eastAsia" w:ascii="仿宋" w:hAnsi="仿宋" w:eastAsia="仿宋"/>
          <w:kern w:val="0"/>
          <w:sz w:val="32"/>
          <w:szCs w:val="32"/>
        </w:rPr>
        <w:t>11、卫生健康（类）行政事业单位医疗（款）事业单位医疗（项）:支出决算为92.18万元，完成预算100%。</w:t>
      </w:r>
    </w:p>
    <w:p>
      <w:pPr>
        <w:widowControl/>
        <w:ind w:firstLine="646" w:firstLineChars="202"/>
        <w:jc w:val="left"/>
        <w:rPr>
          <w:rFonts w:ascii="仿宋" w:hAnsi="仿宋" w:eastAsia="仿宋"/>
          <w:kern w:val="0"/>
          <w:sz w:val="32"/>
          <w:szCs w:val="32"/>
        </w:rPr>
      </w:pPr>
      <w:r>
        <w:rPr>
          <w:rFonts w:hint="eastAsia" w:ascii="仿宋" w:hAnsi="仿宋" w:eastAsia="仿宋"/>
          <w:kern w:val="0"/>
          <w:sz w:val="32"/>
          <w:szCs w:val="32"/>
        </w:rPr>
        <w:t>12、住房保障（类）住房改革支出（款）住房公积金（项）:支出决算为186.86万元，完成预算100%。</w:t>
      </w:r>
    </w:p>
    <w:p>
      <w:pPr>
        <w:ind w:firstLine="704" w:firstLineChars="220"/>
        <w:outlineLvl w:val="1"/>
        <w:rPr>
          <w:rFonts w:ascii="黑体" w:hAnsi="黑体" w:eastAsia="黑体" w:cs="黑体"/>
          <w:bCs/>
          <w:sz w:val="32"/>
          <w:szCs w:val="32"/>
        </w:rPr>
      </w:pPr>
      <w:bookmarkStart w:id="50" w:name="_Toc15396608"/>
      <w:bookmarkStart w:id="51" w:name="_Toc15377214"/>
      <w:bookmarkStart w:id="52" w:name="_Toc13636"/>
      <w:r>
        <w:rPr>
          <w:rFonts w:hint="eastAsia" w:ascii="黑体" w:hAnsi="黑体" w:eastAsia="黑体" w:cs="黑体"/>
          <w:bCs/>
          <w:sz w:val="32"/>
          <w:szCs w:val="32"/>
        </w:rPr>
        <w:t>六、一般公共预算财政拨款基本支出决算情况说明</w:t>
      </w:r>
      <w:bookmarkEnd w:id="50"/>
      <w:bookmarkEnd w:id="51"/>
      <w:bookmarkEnd w:id="52"/>
      <w:r>
        <w:rPr>
          <w:rFonts w:hint="eastAsia" w:ascii="黑体" w:hAnsi="黑体" w:eastAsia="黑体" w:cs="黑体"/>
          <w:bCs/>
          <w:sz w:val="32"/>
          <w:szCs w:val="32"/>
        </w:rPr>
        <w:tab/>
      </w:r>
    </w:p>
    <w:p>
      <w:pPr>
        <w:widowControl/>
        <w:ind w:firstLine="646" w:firstLineChars="202"/>
        <w:jc w:val="left"/>
        <w:rPr>
          <w:rFonts w:ascii="仿宋" w:hAnsi="仿宋" w:eastAsia="仿宋"/>
          <w:kern w:val="0"/>
          <w:sz w:val="32"/>
          <w:szCs w:val="32"/>
        </w:rPr>
      </w:pPr>
      <w:r>
        <w:rPr>
          <w:rFonts w:hint="eastAsia" w:ascii="仿宋" w:hAnsi="仿宋" w:eastAsia="仿宋"/>
          <w:kern w:val="0"/>
          <w:sz w:val="32"/>
          <w:szCs w:val="32"/>
        </w:rPr>
        <w:t>2020年一般公共预算财政拨款基本支出2910.73万元，其中：</w:t>
      </w:r>
    </w:p>
    <w:p>
      <w:pPr>
        <w:widowControl/>
        <w:ind w:firstLine="646" w:firstLineChars="202"/>
        <w:rPr>
          <w:rFonts w:ascii="仿宋" w:hAnsi="仿宋" w:eastAsia="仿宋"/>
          <w:kern w:val="0"/>
          <w:sz w:val="32"/>
          <w:szCs w:val="32"/>
        </w:rPr>
      </w:pPr>
      <w:r>
        <w:rPr>
          <w:rFonts w:hint="eastAsia" w:ascii="仿宋" w:hAnsi="仿宋" w:eastAsia="仿宋"/>
          <w:kern w:val="0"/>
          <w:sz w:val="32"/>
          <w:szCs w:val="32"/>
        </w:rPr>
        <w:t>人员经费2647.18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eastAsia" w:ascii="仿宋" w:hAnsi="仿宋" w:eastAsia="仿宋"/>
          <w:kern w:val="0"/>
          <w:sz w:val="32"/>
          <w:szCs w:val="32"/>
        </w:rPr>
        <w:br w:type="textWrapping"/>
      </w:r>
      <w:r>
        <w:rPr>
          <w:rFonts w:hint="eastAsia" w:ascii="仿宋" w:hAnsi="仿宋" w:eastAsia="仿宋"/>
          <w:kern w:val="0"/>
          <w:sz w:val="32"/>
          <w:szCs w:val="32"/>
        </w:rPr>
        <w:t>　　日常公用经费263.55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ind w:firstLine="704" w:firstLineChars="220"/>
        <w:outlineLvl w:val="1"/>
        <w:rPr>
          <w:rFonts w:ascii="黑体" w:hAnsi="黑体" w:eastAsia="黑体" w:cs="黑体"/>
          <w:bCs/>
          <w:sz w:val="32"/>
          <w:szCs w:val="32"/>
        </w:rPr>
      </w:pPr>
      <w:bookmarkStart w:id="53" w:name="_Toc15377215"/>
      <w:bookmarkStart w:id="54" w:name="_Toc19970"/>
      <w:bookmarkStart w:id="55" w:name="_Toc15396609"/>
      <w:r>
        <w:rPr>
          <w:rFonts w:hint="eastAsia" w:ascii="黑体" w:hAnsi="黑体" w:eastAsia="黑体" w:cs="黑体"/>
          <w:bCs/>
          <w:sz w:val="32"/>
          <w:szCs w:val="32"/>
        </w:rPr>
        <w:t>七、“三公”经费财政拨款支出决算情况说明</w:t>
      </w:r>
      <w:bookmarkEnd w:id="53"/>
      <w:bookmarkEnd w:id="54"/>
      <w:bookmarkEnd w:id="55"/>
    </w:p>
    <w:p>
      <w:pPr>
        <w:ind w:firstLine="704" w:firstLineChars="220"/>
        <w:outlineLvl w:val="2"/>
        <w:rPr>
          <w:rFonts w:ascii="楷体" w:hAnsi="楷体" w:eastAsia="楷体" w:cs="楷体"/>
          <w:sz w:val="32"/>
          <w:szCs w:val="32"/>
        </w:rPr>
      </w:pPr>
      <w:bookmarkStart w:id="56" w:name="_Toc15377216"/>
      <w:r>
        <w:rPr>
          <w:rFonts w:hint="eastAsia" w:ascii="楷体" w:hAnsi="楷体" w:eastAsia="楷体" w:cs="楷体"/>
          <w:sz w:val="32"/>
          <w:szCs w:val="32"/>
        </w:rPr>
        <w:t>（一）“三公”经费财政拨款支出决算总体情况说明</w:t>
      </w:r>
      <w:bookmarkEnd w:id="56"/>
    </w:p>
    <w:p>
      <w:pPr>
        <w:ind w:firstLine="704" w:firstLineChars="22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20年“三公”经费财政拨款支出决算为13.90万元，决算数与预算数基本持平。</w:t>
      </w:r>
    </w:p>
    <w:p>
      <w:pPr>
        <w:widowControl/>
        <w:ind w:firstLine="646" w:firstLineChars="202"/>
        <w:rPr>
          <w:rFonts w:ascii="楷体" w:hAnsi="楷体" w:eastAsia="楷体" w:cs="楷体"/>
          <w:kern w:val="0"/>
          <w:sz w:val="32"/>
          <w:szCs w:val="32"/>
        </w:rPr>
      </w:pPr>
      <w:bookmarkStart w:id="57" w:name="_Toc15377217"/>
      <w:r>
        <w:rPr>
          <w:rFonts w:hint="eastAsia" w:ascii="楷体" w:hAnsi="楷体" w:eastAsia="楷体" w:cs="楷体"/>
          <w:kern w:val="0"/>
          <w:sz w:val="32"/>
          <w:szCs w:val="32"/>
        </w:rPr>
        <w:t>（二）“三公”经费财政拨款支出决算具体情况说明</w:t>
      </w:r>
      <w:bookmarkEnd w:id="57"/>
    </w:p>
    <w:p>
      <w:pPr>
        <w:widowControl/>
        <w:ind w:firstLine="646" w:firstLineChars="202"/>
        <w:rPr>
          <w:rFonts w:ascii="仿宋" w:hAnsi="仿宋" w:eastAsia="仿宋"/>
          <w:kern w:val="0"/>
          <w:sz w:val="32"/>
          <w:szCs w:val="32"/>
        </w:rPr>
      </w:pPr>
      <w:r>
        <w:rPr>
          <w:rFonts w:hint="eastAsia" w:ascii="仿宋" w:hAnsi="仿宋" w:eastAsia="仿宋"/>
          <w:kern w:val="0"/>
          <w:sz w:val="32"/>
          <w:szCs w:val="32"/>
        </w:rPr>
        <w:t>2020年“三公”经费财政拨款支出决算中，无因公出国（境）费支出；公务用车购置及运行维护费支出决算7.80万元，占“三公”经费总额的56.12%；公务接待费支出决算6.10万元，占“三公”经费总额的43.88%。（图7：“三公”经费财政拨款支出结构）</w:t>
      </w:r>
    </w:p>
    <w:p>
      <w:pPr>
        <w:ind w:firstLine="704" w:firstLineChars="220"/>
        <w:rPr>
          <w:rFonts w:ascii="仿宋" w:hAnsi="仿宋" w:eastAsia="仿宋"/>
          <w:color w:val="FF0000"/>
          <w:sz w:val="32"/>
          <w:szCs w:val="32"/>
        </w:rPr>
      </w:pPr>
      <w:r>
        <w:rPr>
          <w:rFonts w:ascii="仿宋" w:hAnsi="仿宋" w:eastAsia="仿宋"/>
          <w:color w:val="FF0000"/>
          <w:sz w:val="32"/>
          <w:szCs w:val="32"/>
        </w:rPr>
        <w:drawing>
          <wp:inline distT="0" distB="0" distL="0" distR="0">
            <wp:extent cx="4623435" cy="2384425"/>
            <wp:effectExtent l="4445" t="4445" r="20320" b="11430"/>
            <wp:docPr id="14"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widowControl/>
        <w:ind w:firstLine="646" w:firstLineChars="202"/>
        <w:jc w:val="left"/>
        <w:rPr>
          <w:rFonts w:ascii="仿宋" w:hAnsi="仿宋" w:eastAsia="仿宋"/>
          <w:kern w:val="0"/>
          <w:sz w:val="32"/>
          <w:szCs w:val="32"/>
        </w:rPr>
      </w:pPr>
      <w:r>
        <w:rPr>
          <w:rFonts w:hint="eastAsia" w:ascii="仿宋" w:hAnsi="仿宋" w:eastAsia="仿宋"/>
          <w:kern w:val="0"/>
          <w:sz w:val="32"/>
          <w:szCs w:val="32"/>
        </w:rPr>
        <w:t>1.无因公出国（境）经费支出，全年没有安排因公出国（境）。</w:t>
      </w:r>
    </w:p>
    <w:p>
      <w:pPr>
        <w:widowControl/>
        <w:ind w:firstLine="646" w:firstLineChars="202"/>
        <w:rPr>
          <w:rFonts w:ascii="仿宋" w:hAnsi="仿宋" w:eastAsia="仿宋"/>
          <w:kern w:val="0"/>
          <w:sz w:val="32"/>
          <w:szCs w:val="32"/>
        </w:rPr>
      </w:pPr>
      <w:r>
        <w:rPr>
          <w:rFonts w:hint="eastAsia" w:ascii="仿宋" w:hAnsi="仿宋" w:eastAsia="仿宋"/>
          <w:kern w:val="0"/>
          <w:sz w:val="32"/>
          <w:szCs w:val="32"/>
        </w:rPr>
        <w:t>2.公务用车购置及运行维护费支出7.80万元,公务用车购置及运行维护费支出决算比2019年减少0.06万元，主要原因是按照《巴中市广播电视台公务用车制度改革实施方案》对单位车辆进行严格管理，强化油料监督、减少派车次数。其中：本年无公务用车购置支出。公务用车运行维护费支出7.80万元。主要用于央视、省台外宣上报；市、县、区时政新闻采访以及县、区开展业务调研等所需的公务用车燃料费、维修费、过路过桥费、保险费等支出。</w:t>
      </w:r>
    </w:p>
    <w:p>
      <w:pPr>
        <w:widowControl/>
        <w:ind w:firstLine="646" w:firstLineChars="202"/>
        <w:rPr>
          <w:rFonts w:ascii="仿宋" w:hAnsi="仿宋" w:eastAsia="仿宋"/>
          <w:kern w:val="0"/>
          <w:sz w:val="32"/>
          <w:szCs w:val="32"/>
        </w:rPr>
      </w:pPr>
      <w:r>
        <w:rPr>
          <w:rFonts w:hint="eastAsia" w:ascii="仿宋" w:hAnsi="仿宋" w:eastAsia="仿宋"/>
          <w:kern w:val="0"/>
          <w:sz w:val="32"/>
          <w:szCs w:val="32"/>
        </w:rPr>
        <w:t>3.公务接待费支出6.10万元，完成预算100%。公务接待费支出决算比2019年减少0.90万元，其中：</w:t>
      </w:r>
    </w:p>
    <w:p>
      <w:pPr>
        <w:widowControl/>
        <w:ind w:firstLine="646" w:firstLineChars="202"/>
        <w:rPr>
          <w:rFonts w:ascii="仿宋" w:hAnsi="仿宋" w:eastAsia="仿宋"/>
          <w:kern w:val="0"/>
          <w:sz w:val="32"/>
          <w:szCs w:val="32"/>
        </w:rPr>
      </w:pPr>
      <w:r>
        <w:rPr>
          <w:rFonts w:hint="eastAsia" w:ascii="仿宋" w:hAnsi="仿宋" w:eastAsia="仿宋"/>
          <w:kern w:val="0"/>
          <w:sz w:val="32"/>
          <w:szCs w:val="32"/>
        </w:rPr>
        <w:t>国内公务接待支出6.10万元，主要用于执行公务、外宣工作、开展宣传及经营业务活动开支的住宿费、用餐费等。国内公务接待138批次，705人次，共计支出6.10万元。</w:t>
      </w:r>
    </w:p>
    <w:p>
      <w:pPr>
        <w:widowControl/>
        <w:ind w:firstLine="646" w:firstLineChars="202"/>
        <w:jc w:val="left"/>
        <w:rPr>
          <w:rFonts w:ascii="黑体" w:hAnsi="黑体" w:eastAsia="黑体" w:cs="黑体"/>
          <w:kern w:val="0"/>
          <w:sz w:val="32"/>
          <w:szCs w:val="32"/>
        </w:rPr>
      </w:pPr>
      <w:bookmarkStart w:id="58" w:name="_Toc17019"/>
      <w:bookmarkStart w:id="59" w:name="_Toc15377218"/>
      <w:bookmarkStart w:id="60" w:name="_Toc15396610"/>
      <w:r>
        <w:rPr>
          <w:rFonts w:hint="eastAsia" w:ascii="黑体" w:hAnsi="黑体" w:eastAsia="黑体" w:cs="黑体"/>
          <w:kern w:val="0"/>
          <w:sz w:val="32"/>
          <w:szCs w:val="32"/>
        </w:rPr>
        <w:t>八、政府性基金预算支出决算情况说明</w:t>
      </w:r>
      <w:bookmarkEnd w:id="58"/>
      <w:bookmarkEnd w:id="59"/>
      <w:bookmarkEnd w:id="60"/>
    </w:p>
    <w:p>
      <w:pPr>
        <w:widowControl/>
        <w:ind w:firstLine="646" w:firstLineChars="202"/>
        <w:jc w:val="left"/>
        <w:rPr>
          <w:rFonts w:ascii="仿宋" w:hAnsi="仿宋" w:eastAsia="仿宋"/>
          <w:kern w:val="0"/>
          <w:sz w:val="32"/>
          <w:szCs w:val="32"/>
        </w:rPr>
      </w:pPr>
      <w:r>
        <w:rPr>
          <w:rFonts w:hint="eastAsia" w:ascii="仿宋" w:hAnsi="仿宋" w:eastAsia="仿宋"/>
          <w:kern w:val="0"/>
          <w:sz w:val="32"/>
          <w:szCs w:val="32"/>
        </w:rPr>
        <w:t>2020年无政府性基金预算拨款支出。</w:t>
      </w:r>
    </w:p>
    <w:p>
      <w:pPr>
        <w:widowControl/>
        <w:ind w:firstLine="646" w:firstLineChars="202"/>
        <w:jc w:val="left"/>
        <w:rPr>
          <w:rFonts w:ascii="黑体" w:hAnsi="黑体" w:eastAsia="黑体" w:cs="黑体"/>
          <w:kern w:val="0"/>
          <w:sz w:val="32"/>
          <w:szCs w:val="32"/>
        </w:rPr>
      </w:pPr>
      <w:bookmarkStart w:id="61" w:name="_Toc15377219"/>
      <w:bookmarkStart w:id="62" w:name="_Toc14245"/>
      <w:bookmarkStart w:id="63" w:name="_Toc15396611"/>
      <w:r>
        <w:rPr>
          <w:rFonts w:hint="eastAsia" w:ascii="黑体" w:hAnsi="黑体" w:eastAsia="黑体" w:cs="黑体"/>
          <w:kern w:val="0"/>
          <w:sz w:val="32"/>
          <w:szCs w:val="32"/>
        </w:rPr>
        <w:t>九、国有资本经营预算支出决算情况说明</w:t>
      </w:r>
      <w:bookmarkEnd w:id="61"/>
      <w:bookmarkEnd w:id="62"/>
      <w:bookmarkEnd w:id="63"/>
    </w:p>
    <w:p>
      <w:pPr>
        <w:widowControl/>
        <w:ind w:firstLine="646" w:firstLineChars="202"/>
        <w:jc w:val="left"/>
        <w:rPr>
          <w:rFonts w:ascii="仿宋" w:hAnsi="仿宋" w:eastAsia="仿宋"/>
          <w:kern w:val="0"/>
          <w:sz w:val="32"/>
          <w:szCs w:val="32"/>
        </w:rPr>
      </w:pPr>
      <w:r>
        <w:rPr>
          <w:rFonts w:hint="eastAsia" w:ascii="仿宋" w:hAnsi="仿宋" w:eastAsia="仿宋"/>
          <w:kern w:val="0"/>
          <w:sz w:val="32"/>
          <w:szCs w:val="32"/>
        </w:rPr>
        <w:t>2020年无国有资本经营预算拨款支出。</w:t>
      </w:r>
    </w:p>
    <w:p>
      <w:pPr>
        <w:widowControl/>
        <w:ind w:firstLine="646" w:firstLineChars="202"/>
        <w:jc w:val="left"/>
        <w:rPr>
          <w:rFonts w:ascii="黑体" w:hAnsi="黑体" w:eastAsia="黑体" w:cs="黑体"/>
          <w:kern w:val="0"/>
          <w:sz w:val="32"/>
          <w:szCs w:val="32"/>
        </w:rPr>
      </w:pPr>
      <w:bookmarkStart w:id="64" w:name="_Toc29786"/>
      <w:bookmarkStart w:id="65" w:name="_Toc15377221"/>
      <w:bookmarkStart w:id="66" w:name="_Toc15396612"/>
      <w:r>
        <w:rPr>
          <w:rFonts w:hint="eastAsia" w:ascii="黑体" w:hAnsi="黑体" w:eastAsia="黑体" w:cs="黑体"/>
          <w:kern w:val="0"/>
          <w:sz w:val="32"/>
          <w:szCs w:val="32"/>
        </w:rPr>
        <w:t>十、其他重要事项的情况说明</w:t>
      </w:r>
      <w:bookmarkEnd w:id="64"/>
      <w:bookmarkEnd w:id="65"/>
      <w:bookmarkEnd w:id="66"/>
    </w:p>
    <w:p>
      <w:pPr>
        <w:widowControl/>
        <w:ind w:firstLine="646" w:firstLineChars="202"/>
        <w:jc w:val="left"/>
        <w:rPr>
          <w:rFonts w:ascii="楷体" w:hAnsi="楷体" w:eastAsia="楷体" w:cs="楷体"/>
          <w:kern w:val="0"/>
          <w:sz w:val="32"/>
          <w:szCs w:val="32"/>
        </w:rPr>
      </w:pPr>
      <w:bookmarkStart w:id="67" w:name="_Toc15377222"/>
      <w:r>
        <w:rPr>
          <w:rFonts w:hint="eastAsia" w:ascii="楷体" w:hAnsi="楷体" w:eastAsia="楷体" w:cs="楷体"/>
          <w:kern w:val="0"/>
          <w:sz w:val="32"/>
          <w:szCs w:val="32"/>
        </w:rPr>
        <w:t>（一）机关运行经费支出情况</w:t>
      </w:r>
      <w:bookmarkEnd w:id="67"/>
    </w:p>
    <w:p>
      <w:pPr>
        <w:widowControl/>
        <w:ind w:firstLine="646" w:firstLineChars="202"/>
        <w:jc w:val="left"/>
        <w:rPr>
          <w:rFonts w:ascii="仿宋" w:hAnsi="仿宋" w:eastAsia="仿宋"/>
          <w:kern w:val="0"/>
          <w:sz w:val="32"/>
          <w:szCs w:val="32"/>
        </w:rPr>
      </w:pPr>
      <w:r>
        <w:rPr>
          <w:rFonts w:hint="eastAsia" w:ascii="仿宋" w:hAnsi="仿宋" w:eastAsia="仿宋"/>
          <w:kern w:val="0"/>
          <w:sz w:val="32"/>
          <w:szCs w:val="32"/>
        </w:rPr>
        <w:t>2020年，巴市广播电视台为事业单位，机关运行经费支出指标非我台填报范筹。</w:t>
      </w:r>
    </w:p>
    <w:p>
      <w:pPr>
        <w:widowControl/>
        <w:ind w:firstLine="646" w:firstLineChars="202"/>
        <w:jc w:val="left"/>
        <w:rPr>
          <w:rFonts w:ascii="楷体" w:hAnsi="楷体" w:eastAsia="楷体" w:cs="楷体"/>
          <w:kern w:val="0"/>
          <w:sz w:val="32"/>
          <w:szCs w:val="32"/>
        </w:rPr>
      </w:pPr>
      <w:bookmarkStart w:id="68" w:name="_Toc15377223"/>
      <w:r>
        <w:rPr>
          <w:rFonts w:hint="eastAsia" w:ascii="楷体" w:hAnsi="楷体" w:eastAsia="楷体" w:cs="楷体"/>
          <w:kern w:val="0"/>
          <w:sz w:val="32"/>
          <w:szCs w:val="32"/>
        </w:rPr>
        <w:t>（二）政府采购支出情况</w:t>
      </w:r>
      <w:bookmarkEnd w:id="68"/>
    </w:p>
    <w:p>
      <w:pPr>
        <w:widowControl/>
        <w:ind w:firstLine="646" w:firstLineChars="202"/>
        <w:rPr>
          <w:rFonts w:ascii="仿宋" w:hAnsi="仿宋" w:eastAsia="仿宋"/>
          <w:kern w:val="0"/>
          <w:sz w:val="32"/>
          <w:szCs w:val="32"/>
        </w:rPr>
      </w:pPr>
      <w:r>
        <w:rPr>
          <w:rFonts w:hint="eastAsia" w:ascii="仿宋" w:hAnsi="仿宋" w:eastAsia="仿宋"/>
          <w:kern w:val="0"/>
          <w:sz w:val="32"/>
          <w:szCs w:val="32"/>
        </w:rPr>
        <w:t>2020年，本部门政府采购支出总额386.90万元，其中：政府采购货物支出226.90万元、政府采购服务支出160万元。主要用于巴中市广播电视台栏目设备采访、七楼演播室空调采购、采访用照像机及器材、电视剧播映权采购和巴中广播电视报印刷费用支出。</w:t>
      </w:r>
    </w:p>
    <w:p>
      <w:pPr>
        <w:widowControl/>
        <w:ind w:firstLine="646" w:firstLineChars="202"/>
        <w:jc w:val="left"/>
        <w:rPr>
          <w:rFonts w:ascii="楷体" w:hAnsi="楷体" w:eastAsia="楷体" w:cs="楷体"/>
          <w:kern w:val="0"/>
          <w:sz w:val="32"/>
          <w:szCs w:val="32"/>
        </w:rPr>
      </w:pPr>
      <w:bookmarkStart w:id="69" w:name="_Toc15377224"/>
      <w:r>
        <w:rPr>
          <w:rFonts w:hint="eastAsia" w:ascii="楷体" w:hAnsi="楷体" w:eastAsia="楷体" w:cs="楷体"/>
          <w:kern w:val="0"/>
          <w:sz w:val="32"/>
          <w:szCs w:val="32"/>
        </w:rPr>
        <w:t>（三）国有资产占有使用情况</w:t>
      </w:r>
      <w:bookmarkEnd w:id="69"/>
    </w:p>
    <w:p>
      <w:pPr>
        <w:widowControl/>
        <w:ind w:firstLine="646" w:firstLineChars="202"/>
        <w:rPr>
          <w:rFonts w:ascii="仿宋" w:hAnsi="仿宋" w:eastAsia="仿宋"/>
          <w:kern w:val="0"/>
          <w:sz w:val="32"/>
          <w:szCs w:val="32"/>
        </w:rPr>
      </w:pPr>
      <w:r>
        <w:rPr>
          <w:rFonts w:hint="eastAsia" w:ascii="仿宋" w:hAnsi="仿宋" w:eastAsia="仿宋"/>
          <w:kern w:val="0"/>
          <w:sz w:val="32"/>
          <w:szCs w:val="32"/>
        </w:rPr>
        <w:t>截至2020年12月31日，巴中市广播电视台共有车辆10辆，其中：一般公务用车2辆，其它新闻采访业务用车8辆；单价50万元以上通用设备18台（套），单价100万元以上专用设备4台（套）。</w:t>
      </w:r>
    </w:p>
    <w:p>
      <w:pPr>
        <w:widowControl/>
        <w:ind w:firstLine="646" w:firstLineChars="202"/>
        <w:jc w:val="left"/>
        <w:rPr>
          <w:rFonts w:ascii="楷体" w:hAnsi="楷体" w:eastAsia="楷体" w:cs="楷体"/>
          <w:kern w:val="0"/>
          <w:sz w:val="32"/>
          <w:szCs w:val="32"/>
        </w:rPr>
      </w:pPr>
      <w:r>
        <w:rPr>
          <w:rFonts w:hint="eastAsia" w:ascii="楷体" w:hAnsi="楷体" w:eastAsia="楷体" w:cs="楷体"/>
          <w:kern w:val="0"/>
          <w:sz w:val="32"/>
          <w:szCs w:val="32"/>
        </w:rPr>
        <w:t>（四）预算绩效管理情况。</w:t>
      </w:r>
    </w:p>
    <w:p>
      <w:pPr>
        <w:widowControl/>
        <w:ind w:firstLine="646" w:firstLineChars="202"/>
        <w:jc w:val="left"/>
        <w:rPr>
          <w:rFonts w:ascii="仿宋" w:hAnsi="仿宋" w:eastAsia="仿宋"/>
          <w:kern w:val="0"/>
          <w:sz w:val="32"/>
          <w:szCs w:val="32"/>
        </w:rPr>
      </w:pPr>
      <w:r>
        <w:rPr>
          <w:rFonts w:hint="eastAsia" w:ascii="仿宋" w:hAnsi="仿宋" w:eastAsia="仿宋"/>
          <w:kern w:val="0"/>
          <w:sz w:val="32"/>
          <w:szCs w:val="32"/>
        </w:rPr>
        <w:t>根据预算绩效管理要求，在年初预算编制阶段，申报并组织对20个项目开展了预算事前绩效评估，对其中10个发展类项目编制了绩效目标，预算执行过程中，选取2个重点项目开展绩效监控，年终执行完毕后，对所有项目均开展了绩效目标完成情况自评。</w:t>
      </w:r>
    </w:p>
    <w:p>
      <w:pPr>
        <w:widowControl/>
        <w:ind w:firstLine="646" w:firstLineChars="202"/>
        <w:rPr>
          <w:rFonts w:ascii="仿宋" w:hAnsi="仿宋" w:eastAsia="仿宋"/>
          <w:kern w:val="0"/>
          <w:sz w:val="32"/>
          <w:szCs w:val="32"/>
        </w:rPr>
      </w:pPr>
      <w:r>
        <w:rPr>
          <w:rFonts w:hint="eastAsia" w:ascii="仿宋" w:hAnsi="仿宋" w:eastAsia="仿宋"/>
          <w:kern w:val="0"/>
          <w:sz w:val="32"/>
          <w:szCs w:val="32"/>
        </w:rPr>
        <w:t xml:space="preserve">本部门按要求对2020年部门整体支出开展绩效自评，根据部门整体支出绩效评价指标规定的内容，经认真自评，2020年度我台整体支出绩效自评得分为95分， 绩效评价等级为“优”。 </w:t>
      </w:r>
    </w:p>
    <w:p>
      <w:pPr>
        <w:widowControl/>
        <w:ind w:firstLine="646" w:firstLineChars="202"/>
        <w:jc w:val="left"/>
        <w:rPr>
          <w:rFonts w:ascii="仿宋" w:hAnsi="仿宋" w:eastAsia="仿宋"/>
          <w:kern w:val="0"/>
          <w:sz w:val="32"/>
          <w:szCs w:val="32"/>
        </w:rPr>
      </w:pPr>
      <w:r>
        <w:rPr>
          <w:rFonts w:hint="eastAsia" w:ascii="仿宋" w:hAnsi="仿宋" w:eastAsia="仿宋"/>
          <w:kern w:val="0"/>
          <w:sz w:val="32"/>
          <w:szCs w:val="32"/>
        </w:rPr>
        <w:t>项目资金使用情况：</w:t>
      </w:r>
    </w:p>
    <w:p>
      <w:pPr>
        <w:widowControl/>
        <w:ind w:firstLine="646" w:firstLineChars="202"/>
        <w:rPr>
          <w:rFonts w:ascii="仿宋" w:hAnsi="仿宋" w:eastAsia="仿宋"/>
          <w:kern w:val="0"/>
          <w:sz w:val="32"/>
          <w:szCs w:val="32"/>
        </w:rPr>
      </w:pPr>
      <w:r>
        <w:rPr>
          <w:rFonts w:hint="eastAsia" w:ascii="仿宋" w:hAnsi="仿宋" w:eastAsia="仿宋"/>
          <w:kern w:val="0"/>
          <w:sz w:val="32"/>
          <w:szCs w:val="32"/>
        </w:rPr>
        <w:t>2020年，市级财政年初预算（巴财预2020第16号）批复我台10个常规类项目和10个发展类项目，批复金额1313万元（其中：一般税收收入安排354.90万元，自主创收非税收入安排958.10万元）。</w:t>
      </w:r>
    </w:p>
    <w:p>
      <w:pPr>
        <w:widowControl/>
        <w:ind w:firstLine="646" w:firstLineChars="202"/>
        <w:rPr>
          <w:rFonts w:ascii="仿宋" w:hAnsi="仿宋" w:eastAsia="仿宋"/>
          <w:kern w:val="0"/>
          <w:sz w:val="32"/>
          <w:szCs w:val="32"/>
        </w:rPr>
      </w:pPr>
      <w:r>
        <w:rPr>
          <w:rFonts w:hint="eastAsia" w:ascii="仿宋" w:hAnsi="仿宋" w:eastAsia="仿宋"/>
          <w:kern w:val="0"/>
          <w:sz w:val="32"/>
          <w:szCs w:val="32"/>
        </w:rPr>
        <w:t>2020年追加项目经费684.90万元。其中：追加“阳光问廉节目”专项经费140 万元，“与川台合作经费”50万元、“融媒体建设项目”360万元、其它宣传项目经费134.90万元。</w:t>
      </w:r>
    </w:p>
    <w:p>
      <w:pPr>
        <w:widowControl/>
        <w:ind w:firstLine="646" w:firstLineChars="202"/>
        <w:rPr>
          <w:rFonts w:ascii="仿宋" w:hAnsi="仿宋" w:eastAsia="仿宋"/>
          <w:kern w:val="0"/>
          <w:sz w:val="32"/>
          <w:szCs w:val="32"/>
        </w:rPr>
      </w:pPr>
      <w:r>
        <w:rPr>
          <w:rFonts w:hint="eastAsia" w:ascii="仿宋" w:hAnsi="仿宋" w:eastAsia="仿宋"/>
          <w:kern w:val="0"/>
          <w:sz w:val="32"/>
          <w:szCs w:val="32"/>
        </w:rPr>
        <w:t>2019年结转项目经费667.27万元，2020年初预算批复项目经费1313.00万元，1-12月追加项目经费622.52万元，实际支出项目经费2408.80万元，2020年终结转项目经费193.99万元。</w:t>
      </w:r>
    </w:p>
    <w:p>
      <w:pPr>
        <w:widowControl/>
        <w:ind w:firstLine="646" w:firstLineChars="202"/>
        <w:rPr>
          <w:rFonts w:ascii="仿宋" w:hAnsi="仿宋" w:eastAsia="仿宋"/>
          <w:kern w:val="0"/>
          <w:sz w:val="32"/>
          <w:szCs w:val="32"/>
        </w:rPr>
      </w:pPr>
      <w:r>
        <w:rPr>
          <w:rFonts w:hint="eastAsia" w:ascii="仿宋" w:hAnsi="仿宋" w:eastAsia="仿宋"/>
          <w:kern w:val="0"/>
          <w:sz w:val="32"/>
          <w:szCs w:val="32"/>
        </w:rPr>
        <w:t>年终结转项目经费193.99万元。主要是：“巴山优才计划”项目结转8.60万元，“阳光问廉节目”专项经费结转120万元、非税收入成本项目经费结转50.39万元、公共文化服务体系建设专项经费结转15万元。</w:t>
      </w:r>
    </w:p>
    <w:p>
      <w:pPr>
        <w:pStyle w:val="32"/>
        <w:adjustRightInd w:val="0"/>
        <w:snapToGrid w:val="0"/>
        <w:spacing w:line="560" w:lineRule="exact"/>
        <w:ind w:firstLine="755" w:firstLineChars="236"/>
        <w:rPr>
          <w:rFonts w:ascii="黑体" w:hAnsi="黑体" w:eastAsia="黑体" w:cs="黑体"/>
          <w:sz w:val="32"/>
          <w:szCs w:val="32"/>
        </w:rPr>
      </w:pPr>
      <w:r>
        <w:rPr>
          <w:rFonts w:hint="eastAsia" w:ascii="黑体" w:hAnsi="黑体" w:eastAsia="黑体" w:cs="黑体"/>
          <w:sz w:val="32"/>
          <w:szCs w:val="32"/>
        </w:rPr>
        <w:t>项目绩效目标完成情况：</w:t>
      </w:r>
    </w:p>
    <w:p>
      <w:pPr>
        <w:widowControl/>
        <w:ind w:firstLine="646" w:firstLineChars="202"/>
        <w:jc w:val="left"/>
        <w:rPr>
          <w:rFonts w:ascii="仿宋" w:hAnsi="仿宋" w:eastAsia="仿宋"/>
          <w:kern w:val="0"/>
          <w:sz w:val="32"/>
          <w:szCs w:val="32"/>
        </w:rPr>
      </w:pPr>
      <w:r>
        <w:rPr>
          <w:rFonts w:hint="eastAsia" w:ascii="仿宋" w:hAnsi="仿宋" w:eastAsia="仿宋"/>
          <w:kern w:val="0"/>
          <w:sz w:val="32"/>
          <w:szCs w:val="32"/>
        </w:rPr>
        <w:t>2020年，在各项经费的支撑下，我台立足巴中文化资源禀赋，拍摄制作完成《探秘巴文化》（第二季）纪录片5集，挖掘巴中巴文化历史资源。“巴人巴风”系列连环画第二部《名人名事》正式公开发行。出版我市首部以红廉文化为主题的连环画——《永远的巴山红叶——王瑛的故事》，并于9月14日举行了全国首发仪式。连环画分为《铁骨》《柔情》《传承》上中下三集，作品融入了巴中的巴文化、红色文化、旅游等诸多元素，独具巴中地域特色，反映了王瑛精神的诞生环境背景和王瑛精神的时代传承，先后入选中宣部“中国原创动漫出版扶持计划”，“学习强国”首页隆重推荐书讯，进入全省农家书屋采购名录。组织参加四川新闻奖评选，9件作品获奖。组织参加“精彩短视频·记录新时代”2020 年四川省短视频创作传播活动，前三季度共有13件作品获奖。组织参加“弘扬社会主义核心价值观 共筑中国梦”主题原创网络视听节目推选，1件作品推荐到国家广电局。参加四川省广播电视（含网络新媒体）优秀论文论著评选活动，2篇作品获三等奖。另外，微电影《花儿妈妈》荣获第八届亚洲微电影艺术节优秀作品二等奖；《山水画廊，秀美巴中》荣获第十三届中国旅游电视周优秀节目四川赛区二等奖；《景祥俊：绿色守望“森”爱一生》《巴山红梅张晓梅》《外国朋友的贴心人王海燕》分别荣获国务院妇女儿童工作委员会、中国电视艺术家协会、中华全国妇女联合会举办的“第九届女性题材优秀电视作品大赛”一等奖和二等奖；《穿越千里，倾情帮扶》获第十四届四川省小康电视节目工程评选二等奖。《“水果支书”李仕祥：种“脱贫果”27年，不胜不休》等3篇通讯分别被人民日报、《人民网》和《经济日报》客户端采用。</w:t>
      </w:r>
    </w:p>
    <w:p>
      <w:pPr>
        <w:pStyle w:val="32"/>
        <w:adjustRightInd w:val="0"/>
        <w:snapToGrid w:val="0"/>
        <w:spacing w:line="560" w:lineRule="exact"/>
        <w:ind w:firstLine="755" w:firstLineChars="236"/>
        <w:rPr>
          <w:rFonts w:ascii="黑体" w:hAnsi="黑体" w:eastAsia="黑体" w:cs="黑体"/>
          <w:sz w:val="32"/>
          <w:szCs w:val="32"/>
        </w:rPr>
      </w:pP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《巴中市广播电视台2020年部门整体支出绩效评价报告》见附件</w:t>
      </w:r>
      <w:bookmarkStart w:id="70" w:name="_Toc15377225"/>
      <w:bookmarkStart w:id="71" w:name="_Toc15396613"/>
    </w:p>
    <w:p>
      <w:pPr>
        <w:ind w:firstLine="880" w:firstLineChars="220"/>
        <w:jc w:val="center"/>
        <w:outlineLvl w:val="0"/>
        <w:rPr>
          <w:rFonts w:hint="eastAsia" w:ascii="黑体" w:hAnsi="黑体" w:eastAsia="黑体"/>
          <w:kern w:val="0"/>
          <w:sz w:val="40"/>
          <w:szCs w:val="40"/>
        </w:rPr>
      </w:pPr>
      <w:bookmarkStart w:id="72" w:name="_Toc28112"/>
      <w:r>
        <w:rPr>
          <w:rFonts w:hint="eastAsia" w:ascii="黑体" w:hAnsi="黑体" w:eastAsia="黑体"/>
          <w:kern w:val="0"/>
          <w:sz w:val="40"/>
          <w:szCs w:val="40"/>
        </w:rPr>
        <w:t>第三部分 名词解释</w:t>
      </w:r>
      <w:bookmarkEnd w:id="70"/>
      <w:bookmarkEnd w:id="71"/>
      <w:bookmarkEnd w:id="72"/>
    </w:p>
    <w:p>
      <w:pPr>
        <w:pStyle w:val="23"/>
        <w:spacing w:line="560" w:lineRule="exact"/>
        <w:ind w:firstLine="602" w:firstLineChars="200"/>
        <w:rPr>
          <w:rFonts w:hAnsi="仿宋" w:cs="Times New Roman"/>
          <w:color w:val="auto"/>
          <w:sz w:val="30"/>
          <w:szCs w:val="30"/>
        </w:rPr>
      </w:pPr>
      <w:r>
        <w:rPr>
          <w:rFonts w:hAnsi="仿宋" w:cs="Times New Roman"/>
          <w:b/>
          <w:bCs/>
          <w:color w:val="auto"/>
          <w:sz w:val="30"/>
          <w:szCs w:val="30"/>
        </w:rPr>
        <w:t>1.</w:t>
      </w:r>
      <w:r>
        <w:rPr>
          <w:rFonts w:hint="eastAsia" w:hAnsi="仿宋" w:cs="Times New Roman"/>
          <w:b/>
          <w:bCs/>
          <w:color w:val="auto"/>
          <w:sz w:val="30"/>
          <w:szCs w:val="30"/>
        </w:rPr>
        <w:t>财政拨款收入：</w:t>
      </w:r>
      <w:r>
        <w:rPr>
          <w:rFonts w:hint="eastAsia" w:hAnsi="仿宋" w:cs="Times New Roman"/>
          <w:color w:val="auto"/>
          <w:sz w:val="30"/>
          <w:szCs w:val="30"/>
        </w:rPr>
        <w:t>指单位从同级财政部门取得的财政预算资金。</w:t>
      </w:r>
    </w:p>
    <w:p>
      <w:pPr>
        <w:pStyle w:val="23"/>
        <w:spacing w:line="560" w:lineRule="exact"/>
        <w:ind w:firstLine="602" w:firstLineChars="200"/>
        <w:rPr>
          <w:rFonts w:hAnsi="仿宋" w:cs="Times New Roman"/>
          <w:color w:val="auto"/>
          <w:sz w:val="30"/>
          <w:szCs w:val="30"/>
        </w:rPr>
      </w:pPr>
      <w:r>
        <w:rPr>
          <w:rFonts w:hAnsi="仿宋" w:cs="Times New Roman"/>
          <w:b/>
          <w:bCs/>
          <w:color w:val="auto"/>
          <w:sz w:val="30"/>
          <w:szCs w:val="30"/>
        </w:rPr>
        <w:t>2.</w:t>
      </w:r>
      <w:r>
        <w:rPr>
          <w:rFonts w:hint="eastAsia" w:hAnsi="仿宋" w:cs="Times New Roman"/>
          <w:b/>
          <w:bCs/>
          <w:color w:val="auto"/>
          <w:sz w:val="30"/>
          <w:szCs w:val="30"/>
        </w:rPr>
        <w:t>事业收入：</w:t>
      </w:r>
      <w:r>
        <w:rPr>
          <w:rFonts w:hint="eastAsia" w:hAnsi="仿宋" w:cs="Times New Roman"/>
          <w:color w:val="auto"/>
          <w:sz w:val="30"/>
          <w:szCs w:val="30"/>
        </w:rPr>
        <w:t>指事业单位开展专业业务活动及辅助活动取得的收入。。</w:t>
      </w:r>
    </w:p>
    <w:p>
      <w:pPr>
        <w:pStyle w:val="23"/>
        <w:spacing w:line="560" w:lineRule="exact"/>
        <w:ind w:firstLine="602" w:firstLineChars="200"/>
        <w:rPr>
          <w:rFonts w:hAnsi="仿宋" w:cs="Times New Roman"/>
          <w:color w:val="auto"/>
          <w:sz w:val="30"/>
          <w:szCs w:val="30"/>
        </w:rPr>
      </w:pPr>
      <w:r>
        <w:rPr>
          <w:rFonts w:hAnsi="仿宋" w:cs="Times New Roman"/>
          <w:b/>
          <w:bCs/>
          <w:color w:val="auto"/>
          <w:sz w:val="30"/>
          <w:szCs w:val="30"/>
        </w:rPr>
        <w:t>3.</w:t>
      </w:r>
      <w:r>
        <w:rPr>
          <w:rFonts w:hint="eastAsia" w:hAnsi="仿宋" w:cs="Times New Roman"/>
          <w:b/>
          <w:bCs/>
          <w:color w:val="auto"/>
          <w:sz w:val="30"/>
          <w:szCs w:val="30"/>
        </w:rPr>
        <w:t>经营收入：</w:t>
      </w:r>
      <w:r>
        <w:rPr>
          <w:rFonts w:hint="eastAsia" w:hAnsi="仿宋" w:cs="Times New Roman"/>
          <w:color w:val="auto"/>
          <w:sz w:val="30"/>
          <w:szCs w:val="30"/>
        </w:rPr>
        <w:t>指事业单位在专业业务活动及其辅助活动之外开展非独立核算经营活动取得的收入。</w:t>
      </w:r>
    </w:p>
    <w:p>
      <w:pPr>
        <w:pStyle w:val="23"/>
        <w:spacing w:line="560" w:lineRule="exact"/>
        <w:ind w:firstLine="602" w:firstLineChars="200"/>
        <w:rPr>
          <w:rFonts w:hAnsi="仿宋" w:cs="Times New Roman"/>
          <w:color w:val="auto"/>
          <w:sz w:val="30"/>
          <w:szCs w:val="30"/>
        </w:rPr>
      </w:pPr>
      <w:r>
        <w:rPr>
          <w:rFonts w:hAnsi="仿宋" w:cs="Times New Roman"/>
          <w:b/>
          <w:bCs/>
          <w:color w:val="auto"/>
          <w:sz w:val="30"/>
          <w:szCs w:val="30"/>
        </w:rPr>
        <w:t>4.</w:t>
      </w:r>
      <w:r>
        <w:rPr>
          <w:rFonts w:hint="eastAsia" w:hAnsi="仿宋" w:cs="Times New Roman"/>
          <w:b/>
          <w:bCs/>
          <w:color w:val="auto"/>
          <w:sz w:val="30"/>
          <w:szCs w:val="30"/>
        </w:rPr>
        <w:t>其他收入：</w:t>
      </w:r>
      <w:r>
        <w:rPr>
          <w:rFonts w:hint="eastAsia" w:hAnsi="仿宋" w:cs="Times New Roman"/>
          <w:color w:val="auto"/>
          <w:sz w:val="30"/>
          <w:szCs w:val="30"/>
        </w:rPr>
        <w:t>指单位取得的除上述收入以外的各项收入。</w:t>
      </w:r>
    </w:p>
    <w:p>
      <w:pPr>
        <w:pStyle w:val="23"/>
        <w:spacing w:line="560" w:lineRule="exact"/>
        <w:ind w:firstLine="602" w:firstLineChars="200"/>
        <w:rPr>
          <w:rFonts w:hAnsi="仿宋" w:cs="Times New Roman"/>
          <w:color w:val="auto"/>
          <w:sz w:val="30"/>
          <w:szCs w:val="30"/>
        </w:rPr>
      </w:pPr>
      <w:r>
        <w:rPr>
          <w:rFonts w:hAnsi="仿宋" w:cs="Times New Roman"/>
          <w:b/>
          <w:bCs/>
          <w:color w:val="auto"/>
          <w:sz w:val="30"/>
          <w:szCs w:val="30"/>
        </w:rPr>
        <w:t>5.</w:t>
      </w:r>
      <w:r>
        <w:rPr>
          <w:rFonts w:hint="eastAsia" w:hAnsi="仿宋" w:cs="Times New Roman"/>
          <w:b/>
          <w:bCs/>
          <w:color w:val="auto"/>
          <w:sz w:val="30"/>
          <w:szCs w:val="30"/>
        </w:rPr>
        <w:t>用事业基金弥补收支差额：</w:t>
      </w:r>
      <w:r>
        <w:rPr>
          <w:rFonts w:hint="eastAsia" w:hAnsi="仿宋" w:cs="Times New Roman"/>
          <w:color w:val="auto"/>
          <w:sz w:val="30"/>
          <w:szCs w:val="30"/>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3"/>
        <w:spacing w:line="560" w:lineRule="exact"/>
        <w:ind w:firstLine="602" w:firstLineChars="200"/>
        <w:rPr>
          <w:rFonts w:hAnsi="仿宋" w:cs="Times New Roman"/>
          <w:color w:val="auto"/>
          <w:sz w:val="30"/>
          <w:szCs w:val="30"/>
        </w:rPr>
      </w:pPr>
      <w:r>
        <w:rPr>
          <w:rFonts w:hAnsi="仿宋" w:cs="Times New Roman"/>
          <w:b/>
          <w:bCs/>
          <w:color w:val="auto"/>
          <w:sz w:val="30"/>
          <w:szCs w:val="30"/>
        </w:rPr>
        <w:t>6.</w:t>
      </w:r>
      <w:r>
        <w:rPr>
          <w:rFonts w:hint="eastAsia" w:hAnsi="仿宋" w:cs="Times New Roman"/>
          <w:b/>
          <w:bCs/>
          <w:color w:val="auto"/>
          <w:sz w:val="30"/>
          <w:szCs w:val="30"/>
        </w:rPr>
        <w:t>年初结转和结余：</w:t>
      </w:r>
      <w:r>
        <w:rPr>
          <w:rFonts w:hint="eastAsia" w:hAnsi="仿宋" w:cs="Times New Roman"/>
          <w:color w:val="auto"/>
          <w:sz w:val="30"/>
          <w:szCs w:val="30"/>
        </w:rPr>
        <w:t>指以前年度尚未完成、结转到本年按有关规定继续使用的资金。</w:t>
      </w:r>
    </w:p>
    <w:p>
      <w:pPr>
        <w:pStyle w:val="23"/>
        <w:spacing w:line="560" w:lineRule="exact"/>
        <w:ind w:firstLine="602" w:firstLineChars="200"/>
        <w:rPr>
          <w:rFonts w:hAnsi="仿宋" w:cs="Times New Roman"/>
          <w:color w:val="auto"/>
          <w:sz w:val="30"/>
          <w:szCs w:val="30"/>
        </w:rPr>
      </w:pPr>
      <w:r>
        <w:rPr>
          <w:rFonts w:hAnsi="仿宋" w:cs="Times New Roman"/>
          <w:b/>
          <w:bCs/>
          <w:color w:val="auto"/>
          <w:sz w:val="30"/>
          <w:szCs w:val="30"/>
        </w:rPr>
        <w:t>7.</w:t>
      </w:r>
      <w:r>
        <w:rPr>
          <w:rFonts w:hint="eastAsia" w:hAnsi="仿宋" w:cs="Times New Roman"/>
          <w:b/>
          <w:bCs/>
          <w:color w:val="auto"/>
          <w:sz w:val="30"/>
          <w:szCs w:val="30"/>
        </w:rPr>
        <w:t>结余分配：</w:t>
      </w:r>
      <w:r>
        <w:rPr>
          <w:rFonts w:hint="eastAsia" w:hAnsi="仿宋" w:cs="Times New Roman"/>
          <w:color w:val="auto"/>
          <w:sz w:val="30"/>
          <w:szCs w:val="30"/>
        </w:rPr>
        <w:t>指事业单位按照事业单位会计制度的规定从非财政补助结余中分配的事业基金和职工福利基金等。</w:t>
      </w:r>
    </w:p>
    <w:p>
      <w:pPr>
        <w:pStyle w:val="23"/>
        <w:spacing w:line="560" w:lineRule="exact"/>
        <w:ind w:firstLine="602" w:firstLineChars="200"/>
        <w:rPr>
          <w:rFonts w:hAnsi="仿宋"/>
          <w:color w:val="auto"/>
          <w:sz w:val="30"/>
          <w:szCs w:val="30"/>
        </w:rPr>
      </w:pPr>
      <w:r>
        <w:rPr>
          <w:rFonts w:hAnsi="仿宋" w:cs="Times New Roman"/>
          <w:b/>
          <w:bCs/>
          <w:color w:val="auto"/>
          <w:sz w:val="30"/>
          <w:szCs w:val="30"/>
        </w:rPr>
        <w:t>8</w:t>
      </w:r>
      <w:r>
        <w:rPr>
          <w:rFonts w:hint="eastAsia" w:hAnsi="仿宋" w:cs="Times New Roman"/>
          <w:b/>
          <w:bCs/>
          <w:color w:val="auto"/>
          <w:sz w:val="30"/>
          <w:szCs w:val="30"/>
        </w:rPr>
        <w:t>、年末结转和结余：</w:t>
      </w:r>
      <w:r>
        <w:rPr>
          <w:rFonts w:hint="eastAsia" w:hAnsi="仿宋" w:cs="Times New Roman"/>
          <w:color w:val="auto"/>
          <w:sz w:val="30"/>
          <w:szCs w:val="30"/>
        </w:rPr>
        <w:t>指单位按有关规定结转到下年或以后年度继续使用的资金。</w:t>
      </w:r>
    </w:p>
    <w:p>
      <w:pPr>
        <w:ind w:firstLine="602" w:firstLineChars="200"/>
        <w:rPr>
          <w:rFonts w:ascii="仿宋" w:hAnsi="仿宋" w:eastAsia="仿宋"/>
          <w:kern w:val="0"/>
          <w:sz w:val="30"/>
          <w:szCs w:val="30"/>
        </w:rPr>
      </w:pPr>
      <w:r>
        <w:rPr>
          <w:rFonts w:hint="eastAsia" w:ascii="仿宋" w:hAnsi="仿宋" w:eastAsia="仿宋"/>
          <w:b/>
          <w:bCs/>
          <w:kern w:val="0"/>
          <w:sz w:val="30"/>
          <w:szCs w:val="30"/>
        </w:rPr>
        <w:t>9</w:t>
      </w:r>
      <w:r>
        <w:rPr>
          <w:rFonts w:ascii="仿宋" w:hAnsi="仿宋" w:eastAsia="仿宋"/>
          <w:b/>
          <w:bCs/>
          <w:kern w:val="0"/>
          <w:sz w:val="30"/>
          <w:szCs w:val="30"/>
        </w:rPr>
        <w:t>.</w:t>
      </w:r>
      <w:r>
        <w:rPr>
          <w:rFonts w:hint="eastAsia" w:ascii="仿宋" w:hAnsi="仿宋" w:eastAsia="仿宋"/>
          <w:b/>
          <w:bCs/>
          <w:kern w:val="0"/>
          <w:sz w:val="30"/>
          <w:szCs w:val="30"/>
        </w:rPr>
        <w:t>基本支出：</w:t>
      </w:r>
      <w:r>
        <w:rPr>
          <w:rFonts w:hint="eastAsia" w:ascii="仿宋" w:hAnsi="仿宋" w:eastAsia="仿宋"/>
          <w:kern w:val="0"/>
          <w:sz w:val="30"/>
          <w:szCs w:val="30"/>
        </w:rPr>
        <w:t>指为保障机构正常运转、完成日常工作任务而发生的人员支出和公用支出。</w:t>
      </w:r>
    </w:p>
    <w:p>
      <w:pPr>
        <w:ind w:firstLine="602" w:firstLineChars="200"/>
        <w:rPr>
          <w:rFonts w:ascii="仿宋" w:hAnsi="仿宋" w:eastAsia="仿宋"/>
          <w:kern w:val="0"/>
          <w:sz w:val="30"/>
          <w:szCs w:val="30"/>
        </w:rPr>
      </w:pPr>
      <w:r>
        <w:rPr>
          <w:rFonts w:hint="eastAsia" w:ascii="仿宋" w:hAnsi="仿宋" w:eastAsia="仿宋"/>
          <w:b/>
          <w:bCs/>
          <w:kern w:val="0"/>
          <w:sz w:val="30"/>
          <w:szCs w:val="30"/>
        </w:rPr>
        <w:t>10.项目支出：</w:t>
      </w:r>
      <w:r>
        <w:rPr>
          <w:rFonts w:hint="eastAsia" w:ascii="仿宋" w:hAnsi="仿宋" w:eastAsia="仿宋"/>
          <w:kern w:val="0"/>
          <w:sz w:val="30"/>
          <w:szCs w:val="30"/>
        </w:rPr>
        <w:t>指在基本支出之外为完成特定行政任务和事业发展目标所发生的支出。</w:t>
      </w:r>
    </w:p>
    <w:p>
      <w:pPr>
        <w:ind w:firstLine="602" w:firstLineChars="200"/>
        <w:rPr>
          <w:rFonts w:ascii="仿宋" w:hAnsi="仿宋" w:eastAsia="仿宋"/>
          <w:kern w:val="0"/>
          <w:sz w:val="30"/>
          <w:szCs w:val="30"/>
        </w:rPr>
      </w:pPr>
      <w:r>
        <w:rPr>
          <w:rFonts w:hint="eastAsia" w:ascii="仿宋" w:hAnsi="仿宋" w:eastAsia="仿宋"/>
          <w:b/>
          <w:bCs/>
          <w:kern w:val="0"/>
          <w:sz w:val="30"/>
          <w:szCs w:val="30"/>
        </w:rPr>
        <w:t>11.经营支出：</w:t>
      </w:r>
      <w:r>
        <w:rPr>
          <w:rFonts w:hint="eastAsia" w:ascii="仿宋" w:hAnsi="仿宋" w:eastAsia="仿宋"/>
          <w:kern w:val="0"/>
          <w:sz w:val="30"/>
          <w:szCs w:val="30"/>
        </w:rPr>
        <w:t>指事业单位在专业业务活动及其辅助活动之外开展非独立核算经营活动发生的支出。</w:t>
      </w:r>
    </w:p>
    <w:p>
      <w:pPr>
        <w:pStyle w:val="23"/>
        <w:spacing w:line="560" w:lineRule="exact"/>
        <w:ind w:firstLine="602" w:firstLineChars="200"/>
        <w:rPr>
          <w:rFonts w:hAnsi="仿宋" w:cs="Times New Roman"/>
          <w:color w:val="auto"/>
          <w:sz w:val="30"/>
          <w:szCs w:val="30"/>
        </w:rPr>
      </w:pPr>
      <w:r>
        <w:rPr>
          <w:rFonts w:hint="eastAsia" w:hAnsi="仿宋" w:cs="Times New Roman"/>
          <w:b/>
          <w:bCs/>
          <w:color w:val="auto"/>
          <w:sz w:val="30"/>
          <w:szCs w:val="30"/>
        </w:rPr>
        <w:t>12.“三公”经费：</w:t>
      </w:r>
      <w:r>
        <w:rPr>
          <w:rFonts w:hint="eastAsia" w:hAnsi="仿宋" w:cs="Times New Roman"/>
          <w:color w:val="auto"/>
          <w:sz w:val="30"/>
          <w:szCs w:val="30"/>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02" w:firstLineChars="200"/>
        <w:rPr>
          <w:rFonts w:hint="eastAsia" w:hAnsi="仿宋" w:cs="Times New Roman"/>
          <w:color w:val="auto"/>
          <w:sz w:val="30"/>
          <w:szCs w:val="30"/>
        </w:rPr>
      </w:pPr>
      <w:r>
        <w:rPr>
          <w:rFonts w:hint="eastAsia" w:hAnsi="仿宋" w:cs="Times New Roman"/>
          <w:b/>
          <w:bCs/>
          <w:color w:val="auto"/>
          <w:sz w:val="30"/>
          <w:szCs w:val="30"/>
        </w:rPr>
        <w:t>13.机关运行经费：</w:t>
      </w:r>
      <w:r>
        <w:rPr>
          <w:rFonts w:hint="eastAsia" w:hAnsi="仿宋" w:cs="Times New Roman"/>
          <w:color w:val="auto"/>
          <w:sz w:val="30"/>
          <w:szCs w:val="30"/>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00" w:firstLineChars="200"/>
        <w:rPr>
          <w:rFonts w:hint="eastAsia" w:hAnsi="仿宋" w:cs="Times New Roman"/>
          <w:color w:val="auto"/>
          <w:sz w:val="30"/>
          <w:szCs w:val="30"/>
        </w:rPr>
      </w:pPr>
    </w:p>
    <w:p>
      <w:pPr>
        <w:ind w:firstLine="880" w:firstLineChars="220"/>
        <w:jc w:val="center"/>
        <w:outlineLvl w:val="0"/>
        <w:rPr>
          <w:rFonts w:hint="eastAsia" w:ascii="黑体" w:hAnsi="黑体" w:eastAsia="黑体"/>
          <w:kern w:val="0"/>
          <w:sz w:val="40"/>
          <w:szCs w:val="40"/>
        </w:rPr>
      </w:pPr>
      <w:bookmarkStart w:id="73" w:name="_Toc15396614"/>
      <w:bookmarkStart w:id="74" w:name="_Toc9756"/>
      <w:bookmarkStart w:id="75" w:name="_Toc15377226"/>
      <w:r>
        <w:rPr>
          <w:rFonts w:hint="eastAsia" w:ascii="黑体" w:hAnsi="黑体" w:eastAsia="黑体"/>
          <w:kern w:val="0"/>
          <w:sz w:val="40"/>
          <w:szCs w:val="40"/>
        </w:rPr>
        <w:t>第四部分 附件</w:t>
      </w:r>
      <w:bookmarkEnd w:id="73"/>
      <w:bookmarkEnd w:id="74"/>
    </w:p>
    <w:p>
      <w:pPr>
        <w:spacing w:line="520" w:lineRule="exact"/>
        <w:jc w:val="center"/>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巴中市广播电视台2020年整体支出绩效自评报告</w:t>
      </w:r>
    </w:p>
    <w:p>
      <w:pPr>
        <w:spacing w:line="560" w:lineRule="exact"/>
        <w:ind w:firstLine="708" w:firstLineChars="236"/>
        <w:rPr>
          <w:rFonts w:ascii="仿宋" w:hAnsi="仿宋" w:eastAsia="仿宋"/>
          <w:sz w:val="30"/>
          <w:szCs w:val="30"/>
        </w:rPr>
      </w:pPr>
      <w:r>
        <w:rPr>
          <w:rFonts w:hint="eastAsia" w:ascii="仿宋" w:hAnsi="仿宋" w:eastAsia="仿宋"/>
          <w:sz w:val="30"/>
          <w:szCs w:val="30"/>
        </w:rPr>
        <w:t>根据《关于开展</w:t>
      </w:r>
      <w:r>
        <w:rPr>
          <w:rFonts w:ascii="仿宋" w:hAnsi="仿宋" w:eastAsia="仿宋"/>
          <w:sz w:val="30"/>
          <w:szCs w:val="30"/>
        </w:rPr>
        <w:t>20</w:t>
      </w:r>
      <w:r>
        <w:rPr>
          <w:rFonts w:hint="eastAsia" w:ascii="仿宋" w:hAnsi="仿宋" w:eastAsia="仿宋"/>
          <w:sz w:val="30"/>
          <w:szCs w:val="30"/>
        </w:rPr>
        <w:t>21年市级财政支出绩效评价工作的通知》（巴财绩</w:t>
      </w:r>
      <w:r>
        <w:rPr>
          <w:rFonts w:ascii="仿宋" w:hAnsi="仿宋" w:eastAsia="仿宋"/>
          <w:sz w:val="30"/>
          <w:szCs w:val="30"/>
        </w:rPr>
        <w:t>[20</w:t>
      </w:r>
      <w:r>
        <w:rPr>
          <w:rFonts w:hint="eastAsia" w:ascii="仿宋" w:hAnsi="仿宋" w:eastAsia="仿宋"/>
          <w:sz w:val="30"/>
          <w:szCs w:val="30"/>
        </w:rPr>
        <w:t>21</w:t>
      </w:r>
      <w:r>
        <w:rPr>
          <w:rFonts w:ascii="仿宋" w:hAnsi="仿宋" w:eastAsia="仿宋"/>
          <w:sz w:val="30"/>
          <w:szCs w:val="30"/>
        </w:rPr>
        <w:t>]</w:t>
      </w:r>
      <w:r>
        <w:rPr>
          <w:rFonts w:hint="eastAsia" w:ascii="仿宋" w:hAnsi="仿宋" w:eastAsia="仿宋"/>
          <w:sz w:val="30"/>
          <w:szCs w:val="30"/>
        </w:rPr>
        <w:t>4号）文件要求，我台组织专人按照规定的绩效考评指标及考评办法，对</w:t>
      </w:r>
      <w:r>
        <w:rPr>
          <w:rFonts w:ascii="仿宋" w:hAnsi="仿宋" w:eastAsia="仿宋"/>
          <w:sz w:val="30"/>
          <w:szCs w:val="30"/>
        </w:rPr>
        <w:t>20</w:t>
      </w:r>
      <w:r>
        <w:rPr>
          <w:rFonts w:hint="eastAsia" w:ascii="仿宋" w:hAnsi="仿宋" w:eastAsia="仿宋"/>
          <w:sz w:val="30"/>
          <w:szCs w:val="30"/>
        </w:rPr>
        <w:t>20年部门整体支出绩效开展自评，现报告如下：</w:t>
      </w:r>
    </w:p>
    <w:p>
      <w:pPr>
        <w:pStyle w:val="32"/>
        <w:adjustRightInd w:val="0"/>
        <w:snapToGrid w:val="0"/>
        <w:spacing w:line="560" w:lineRule="exact"/>
        <w:ind w:firstLine="708" w:firstLineChars="236"/>
        <w:rPr>
          <w:rFonts w:ascii="黑体" w:hAnsi="黑体" w:eastAsia="黑体" w:cs="Times New Roman"/>
          <w:color w:val="auto"/>
          <w:sz w:val="30"/>
          <w:szCs w:val="30"/>
        </w:rPr>
      </w:pPr>
      <w:r>
        <w:rPr>
          <w:rFonts w:hint="eastAsia" w:ascii="黑体" w:hAnsi="黑体" w:eastAsia="黑体" w:cs="Times New Roman"/>
          <w:color w:val="auto"/>
          <w:sz w:val="30"/>
          <w:szCs w:val="30"/>
        </w:rPr>
        <w:t>一、单位基本情况</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楷体" w:hAnsi="楷体" w:eastAsia="楷体" w:cs="楷体"/>
          <w:color w:val="auto"/>
          <w:sz w:val="30"/>
          <w:szCs w:val="30"/>
        </w:rPr>
        <w:t>1、机构组成。</w:t>
      </w:r>
      <w:r>
        <w:rPr>
          <w:rFonts w:hint="eastAsia" w:ascii="仿宋" w:hAnsi="仿宋" w:eastAsia="仿宋" w:cs="Times New Roman"/>
          <w:color w:val="auto"/>
          <w:sz w:val="30"/>
          <w:szCs w:val="30"/>
        </w:rPr>
        <w:t>巴中市广播电视台是市委宣传部管理的正县级事业单位，组建于2005年8月。内设办公室、人力资源、计划财务、新闻中心、节目中心等20个职能科室。</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楷体" w:hAnsi="楷体" w:eastAsia="楷体" w:cs="楷体"/>
          <w:color w:val="auto"/>
          <w:sz w:val="30"/>
          <w:szCs w:val="30"/>
        </w:rPr>
        <w:t>2、机构职能。</w:t>
      </w:r>
      <w:r>
        <w:rPr>
          <w:rFonts w:hint="eastAsia" w:ascii="仿宋" w:hAnsi="仿宋" w:eastAsia="仿宋" w:cs="Times New Roman"/>
          <w:color w:val="auto"/>
          <w:sz w:val="30"/>
          <w:szCs w:val="30"/>
        </w:rPr>
        <w:t>巴中市广播电视台是市委、市政府的新闻宣传机构，担负传播先进文化的重要职责。辖巴中电视台、巴中人民广播电台、巴中新报、巴中融媒体中心四大媒体，组织开展对内对外宣传和承担广播电视无线覆盖任务。经营管理所辖媒体广告，开发广播电视产业。</w:t>
      </w:r>
    </w:p>
    <w:p>
      <w:pPr>
        <w:pStyle w:val="32"/>
        <w:adjustRightInd w:val="0"/>
        <w:snapToGrid w:val="0"/>
        <w:spacing w:line="560" w:lineRule="exact"/>
        <w:ind w:firstLine="708" w:firstLineChars="236"/>
        <w:rPr>
          <w:rFonts w:ascii="仿宋" w:hAnsi="仿宋" w:eastAsia="仿宋"/>
          <w:sz w:val="32"/>
          <w:szCs w:val="32"/>
        </w:rPr>
      </w:pPr>
      <w:r>
        <w:rPr>
          <w:rFonts w:hint="eastAsia" w:ascii="仿宋" w:hAnsi="仿宋" w:eastAsia="仿宋" w:cs="Times New Roman"/>
          <w:color w:val="auto"/>
          <w:sz w:val="30"/>
          <w:szCs w:val="30"/>
        </w:rPr>
        <w:t>3、人员概况。</w:t>
      </w:r>
      <w:r>
        <w:rPr>
          <w:rFonts w:ascii="仿宋" w:hAnsi="仿宋" w:eastAsia="仿宋" w:cs="Times New Roman"/>
          <w:color w:val="auto"/>
          <w:sz w:val="30"/>
          <w:szCs w:val="30"/>
        </w:rPr>
        <w:t>20</w:t>
      </w:r>
      <w:r>
        <w:rPr>
          <w:rFonts w:hint="eastAsia" w:ascii="仿宋" w:hAnsi="仿宋" w:eastAsia="仿宋" w:cs="Times New Roman"/>
          <w:color w:val="auto"/>
          <w:sz w:val="30"/>
          <w:szCs w:val="30"/>
        </w:rPr>
        <w:t>20</w:t>
      </w:r>
      <w:r>
        <w:rPr>
          <w:rFonts w:ascii="仿宋" w:hAnsi="仿宋" w:eastAsia="仿宋" w:cs="Times New Roman"/>
          <w:color w:val="auto"/>
          <w:sz w:val="30"/>
          <w:szCs w:val="30"/>
        </w:rPr>
        <w:t>年财政预算供给人员共</w:t>
      </w:r>
      <w:r>
        <w:rPr>
          <w:rFonts w:hint="eastAsia" w:ascii="仿宋" w:hAnsi="仿宋" w:eastAsia="仿宋" w:cs="Times New Roman"/>
          <w:color w:val="auto"/>
          <w:sz w:val="30"/>
          <w:szCs w:val="30"/>
        </w:rPr>
        <w:t>275</w:t>
      </w:r>
      <w:r>
        <w:rPr>
          <w:rFonts w:ascii="仿宋" w:hAnsi="仿宋" w:eastAsia="仿宋" w:cs="Times New Roman"/>
          <w:color w:val="auto"/>
          <w:sz w:val="30"/>
          <w:szCs w:val="30"/>
        </w:rPr>
        <w:t>人，</w:t>
      </w:r>
      <w:r>
        <w:rPr>
          <w:rFonts w:hint="eastAsia" w:ascii="仿宋" w:hAnsi="仿宋" w:eastAsia="仿宋" w:cs="Times New Roman"/>
          <w:color w:val="auto"/>
          <w:sz w:val="30"/>
          <w:szCs w:val="30"/>
        </w:rPr>
        <w:t>其中：定额定项补助人员155人、聘</w:t>
      </w:r>
      <w:r>
        <w:rPr>
          <w:rFonts w:hint="eastAsia" w:ascii="仿宋" w:hAnsi="仿宋" w:eastAsia="仿宋"/>
          <w:sz w:val="32"/>
          <w:szCs w:val="32"/>
        </w:rPr>
        <w:t>用专业技术人员120人。</w:t>
      </w:r>
    </w:p>
    <w:p>
      <w:pPr>
        <w:pStyle w:val="32"/>
        <w:adjustRightInd w:val="0"/>
        <w:snapToGrid w:val="0"/>
        <w:spacing w:line="560" w:lineRule="exact"/>
        <w:ind w:firstLine="708" w:firstLineChars="236"/>
        <w:rPr>
          <w:rFonts w:ascii="黑体" w:hAnsi="黑体" w:eastAsia="黑体" w:cs="Times New Roman"/>
          <w:color w:val="auto"/>
          <w:sz w:val="30"/>
          <w:szCs w:val="30"/>
        </w:rPr>
      </w:pPr>
      <w:r>
        <w:rPr>
          <w:rFonts w:hint="eastAsia" w:ascii="黑体" w:hAnsi="黑体" w:eastAsia="黑体" w:cs="Times New Roman"/>
          <w:color w:val="auto"/>
          <w:sz w:val="30"/>
          <w:szCs w:val="30"/>
        </w:rPr>
        <w:t>二、部门财政资金收支情况</w:t>
      </w:r>
    </w:p>
    <w:p>
      <w:pPr>
        <w:pStyle w:val="32"/>
        <w:adjustRightInd w:val="0"/>
        <w:snapToGrid w:val="0"/>
        <w:spacing w:line="560" w:lineRule="exact"/>
        <w:ind w:firstLine="708" w:firstLineChars="236"/>
        <w:rPr>
          <w:rFonts w:ascii="楷体" w:hAnsi="楷体" w:eastAsia="楷体" w:cs="楷体"/>
          <w:color w:val="000000" w:themeColor="text1"/>
          <w:sz w:val="30"/>
          <w:szCs w:val="30"/>
          <w14:textFill>
            <w14:solidFill>
              <w14:schemeClr w14:val="tx1"/>
            </w14:solidFill>
          </w14:textFill>
        </w:rPr>
      </w:pPr>
      <w:r>
        <w:rPr>
          <w:rFonts w:hint="eastAsia" w:ascii="楷体" w:hAnsi="楷体" w:eastAsia="楷体" w:cs="楷体"/>
          <w:color w:val="000000" w:themeColor="text1"/>
          <w:sz w:val="30"/>
          <w:szCs w:val="30"/>
          <w14:textFill>
            <w14:solidFill>
              <w14:schemeClr w14:val="tx1"/>
            </w14:solidFill>
          </w14:textFill>
        </w:rPr>
        <w:t>1、部门财政资金收入情况。</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年初结转财政资金667.67万元；本年财政拨款收入4846.24万元，较上年减少342.55万元,其中：年初预算2006.90万元，年度执行中追加预算2839.34万元，</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追加预算主要是一般公共预算财力追加1091.13万元</w:t>
      </w:r>
      <w:r>
        <w:rPr>
          <w:rFonts w:ascii="仿宋" w:hAnsi="仿宋" w:eastAsia="仿宋" w:cs="Times New Roman"/>
          <w:color w:val="auto"/>
          <w:sz w:val="30"/>
          <w:szCs w:val="30"/>
        </w:rPr>
        <w:t>(</w:t>
      </w:r>
      <w:r>
        <w:rPr>
          <w:rFonts w:hint="eastAsia" w:ascii="仿宋" w:hAnsi="仿宋" w:eastAsia="仿宋" w:cs="Times New Roman"/>
          <w:color w:val="auto"/>
          <w:sz w:val="30"/>
          <w:szCs w:val="30"/>
        </w:rPr>
        <w:t>其中:2019年度市级部门目标考核奖和2020年增人增资746.63万元、巴人文化艺术节专项经费18万元、《亲吻你墓碑，向你致敬》5万元、中国气侯养生之都专题片摄制专项经费3万元、永远的巴山红叶—王瑛的故事连环画创作经费40万元、阳光问廉节目专项经费120万元、四川电视台战略合作经费130万元、巴山优才计划专项经费15万元、中央补助地方公共文化服务体系建设专项经费4.9万元、引进人地安家补助专项经费8.6万元；自主创收非税收入追加1748.21万元</w:t>
      </w:r>
      <w:r>
        <w:rPr>
          <w:rFonts w:ascii="仿宋" w:hAnsi="仿宋" w:eastAsia="仿宋" w:cs="Times New Roman"/>
          <w:color w:val="auto"/>
          <w:sz w:val="30"/>
          <w:szCs w:val="30"/>
        </w:rPr>
        <w:t>。</w:t>
      </w:r>
    </w:p>
    <w:p>
      <w:pPr>
        <w:pStyle w:val="32"/>
        <w:adjustRightInd w:val="0"/>
        <w:snapToGrid w:val="0"/>
        <w:spacing w:line="560" w:lineRule="exact"/>
        <w:ind w:firstLine="708" w:firstLineChars="236"/>
        <w:rPr>
          <w:rFonts w:ascii="楷体" w:hAnsi="楷体" w:eastAsia="楷体" w:cs="楷体"/>
          <w:color w:val="auto"/>
          <w:sz w:val="30"/>
          <w:szCs w:val="30"/>
        </w:rPr>
      </w:pPr>
      <w:r>
        <w:rPr>
          <w:rFonts w:hint="eastAsia" w:ascii="楷体" w:hAnsi="楷体" w:eastAsia="楷体" w:cs="楷体"/>
          <w:color w:val="auto"/>
          <w:sz w:val="30"/>
          <w:szCs w:val="30"/>
        </w:rPr>
        <w:t xml:space="preserve">2、部门财政资金支出情况。 </w:t>
      </w:r>
    </w:p>
    <w:p>
      <w:pPr>
        <w:pStyle w:val="32"/>
        <w:adjustRightInd w:val="0"/>
        <w:snapToGrid w:val="0"/>
        <w:spacing w:line="560" w:lineRule="exact"/>
        <w:ind w:firstLine="755" w:firstLineChars="236"/>
        <w:rPr>
          <w:rFonts w:ascii="仿宋" w:hAnsi="仿宋" w:eastAsia="仿宋" w:cs="仿宋"/>
          <w:color w:val="auto"/>
          <w:sz w:val="32"/>
          <w:szCs w:val="32"/>
        </w:rPr>
      </w:pPr>
      <w:r>
        <w:rPr>
          <w:rFonts w:hint="eastAsia" w:ascii="仿宋" w:hAnsi="仿宋" w:eastAsia="仿宋" w:cs="仿宋"/>
          <w:color w:val="auto"/>
          <w:sz w:val="32"/>
          <w:szCs w:val="32"/>
        </w:rPr>
        <w:t>2020年度支出总额为5319.53万元，较上年增加594.21万元。增加的主要原因市级融媒体中心建设、阳光问廉节目等专项资金结转至本年支付造成，按功能分类：一般公共服务支出162万元、教育支出4.5万元、文化旅游体育与传媒支出4690.13万元、社会保障和就业支出183.86万元、卫生健康支出92.18万元、住房保障支出186.86万元。按支出性质分类：基本支出2910.73万元（人员经费2647.18万元、公用经费263.55万元）、项目支出2408.80万元。按经济分类：工资福利性支出2893.71万元，商品和服务支出为1702.45万元，对个人和家庭的补助支出为136.47万元，资本性支出586.90万元。</w:t>
      </w:r>
    </w:p>
    <w:p>
      <w:pPr>
        <w:pStyle w:val="32"/>
        <w:adjustRightInd w:val="0"/>
        <w:snapToGrid w:val="0"/>
        <w:spacing w:line="560" w:lineRule="exact"/>
        <w:ind w:firstLine="708" w:firstLineChars="236"/>
        <w:rPr>
          <w:rFonts w:ascii="黑体" w:hAnsi="黑体" w:eastAsia="黑体" w:cs="Times New Roman"/>
          <w:color w:val="auto"/>
          <w:sz w:val="30"/>
          <w:szCs w:val="30"/>
        </w:rPr>
      </w:pPr>
      <w:r>
        <w:rPr>
          <w:rFonts w:hint="eastAsia" w:ascii="黑体" w:hAnsi="黑体" w:eastAsia="黑体" w:cs="Times New Roman"/>
          <w:color w:val="auto"/>
          <w:sz w:val="30"/>
          <w:szCs w:val="30"/>
        </w:rPr>
        <w:t>三、部门财政支出管理情况</w:t>
      </w:r>
    </w:p>
    <w:p>
      <w:pPr>
        <w:pStyle w:val="32"/>
        <w:adjustRightInd w:val="0"/>
        <w:snapToGrid w:val="0"/>
        <w:spacing w:line="560" w:lineRule="exact"/>
        <w:ind w:firstLine="708" w:firstLineChars="236"/>
        <w:rPr>
          <w:rFonts w:ascii="楷体" w:hAnsi="楷体" w:eastAsia="楷体" w:cs="楷体"/>
          <w:color w:val="auto"/>
          <w:sz w:val="30"/>
          <w:szCs w:val="30"/>
        </w:rPr>
      </w:pPr>
      <w:r>
        <w:rPr>
          <w:rFonts w:hint="eastAsia" w:ascii="楷体" w:hAnsi="楷体" w:eastAsia="楷体" w:cs="楷体"/>
          <w:color w:val="auto"/>
          <w:sz w:val="30"/>
          <w:szCs w:val="30"/>
        </w:rPr>
        <w:t>1、制度建设情况</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在制度建设上出台有《巴中市广播电视台财务管理制度（试行）》《巴中市广播电视台资产及服务项目采购管理办法（试行）》《巴中市广播电视台关于公(业)务接待、差旅及会议费管理办法（试行）》《巴中市广播电视台固定资产管理办法（试行）》《巴中市广播电视台票据管理办法（试行）》等财务规章制度，严格执行，防范廉洁等各类风险。</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加强内部控制。高度重视内部管理制度建设，加强财务管理，强化财务监督，增强法纪观念。强化制度执行。切实做好厉行节约工作，全面落实各项管理制度要求，努力降低行政成本。严格公务接待费、差旅费、会议费和培训费审核审批程序，加强对公务用车的管理，对会议费和培训费严格按年初计划和制度规定的标准执行。各项费用严格履行签审程序，“三公”经费较好地控制在预算范围之内。</w:t>
      </w:r>
    </w:p>
    <w:p>
      <w:pPr>
        <w:pStyle w:val="32"/>
        <w:adjustRightInd w:val="0"/>
        <w:snapToGrid w:val="0"/>
        <w:spacing w:line="560" w:lineRule="exact"/>
        <w:ind w:firstLine="708" w:firstLineChars="236"/>
        <w:rPr>
          <w:rFonts w:ascii="楷体" w:hAnsi="楷体" w:eastAsia="楷体" w:cs="楷体"/>
          <w:color w:val="auto"/>
          <w:sz w:val="30"/>
          <w:szCs w:val="30"/>
        </w:rPr>
      </w:pPr>
      <w:r>
        <w:rPr>
          <w:rFonts w:hint="eastAsia" w:ascii="楷体" w:hAnsi="楷体" w:eastAsia="楷体" w:cs="楷体"/>
          <w:color w:val="auto"/>
          <w:sz w:val="30"/>
          <w:szCs w:val="30"/>
        </w:rPr>
        <w:t>2、绩效目标管理情况</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2020年度我台按照“统筹兼顾、量入为出”的原则，合理安排预算资金，加强预算资金的管理和预算执行力度，在实际工作中严格执行财经纪律、遵守“八项规定”。结合单位实际情况，厉行勤俭节约，在会计收支业务过程中严把财务报销流程，严把采购申报招标程序，从源头上规范收支业务的合理、合规性。</w:t>
      </w:r>
    </w:p>
    <w:p>
      <w:pPr>
        <w:pStyle w:val="32"/>
        <w:adjustRightInd w:val="0"/>
        <w:snapToGrid w:val="0"/>
        <w:spacing w:line="560" w:lineRule="exact"/>
        <w:ind w:firstLine="708" w:firstLineChars="236"/>
        <w:jc w:val="both"/>
        <w:rPr>
          <w:rFonts w:hint="eastAsia" w:ascii="仿宋" w:hAnsi="仿宋" w:eastAsia="仿宋" w:cs="Times New Roman"/>
          <w:color w:val="auto"/>
          <w:sz w:val="30"/>
          <w:szCs w:val="30"/>
          <w:lang w:val="zh-CN"/>
        </w:rPr>
      </w:pPr>
      <w:r>
        <w:rPr>
          <w:rFonts w:hint="eastAsia" w:ascii="仿宋" w:hAnsi="仿宋" w:eastAsia="仿宋" w:cs="Times New Roman"/>
          <w:color w:val="auto"/>
          <w:sz w:val="30"/>
          <w:szCs w:val="30"/>
        </w:rPr>
        <w:t>对全年的整体支出进行绩效指标细化，牢固树立绩效预算资金绩效管理理念，强化绩效目标管理，加强绩效运行监管，硬化责任约束。实行专款专用，专人跟踪督查，坚决做到“花钱必问效、无效必问责”，把每一笔财政资金用好用活、用出成效。</w:t>
      </w:r>
    </w:p>
    <w:p>
      <w:pPr>
        <w:pStyle w:val="32"/>
        <w:adjustRightInd w:val="0"/>
        <w:snapToGrid w:val="0"/>
        <w:spacing w:line="560" w:lineRule="exact"/>
        <w:ind w:firstLine="708" w:firstLineChars="236"/>
        <w:rPr>
          <w:rFonts w:ascii="楷体" w:hAnsi="楷体" w:eastAsia="楷体" w:cs="楷体"/>
          <w:color w:val="auto"/>
          <w:sz w:val="30"/>
          <w:szCs w:val="30"/>
        </w:rPr>
      </w:pPr>
      <w:r>
        <w:rPr>
          <w:rFonts w:hint="eastAsia" w:ascii="楷体" w:hAnsi="楷体" w:eastAsia="楷体" w:cs="楷体"/>
          <w:color w:val="auto"/>
          <w:sz w:val="30"/>
          <w:szCs w:val="30"/>
        </w:rPr>
        <w:t>3、综合管理情况。</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在债务管理方面，截止2020年底，我台实际欠付工行巴中分行原广播电视村村通工程贷款本金1941.44万元，无其它新增债务。</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在资产管理方面，我台对固定资实行统一管理、统一调配，并按使用人建立了资产实物管理台账，实行使用、保管签字登记制度。</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严格落实政府采购程序，强化资产与服务采购流程和内控管理。2020年度我台预算申报政府采购计划229.5万元，实际实施完成政府采购项目14批次304万元。对单位固定资产统一采购、多人经办 ，“货比三家”，并年底对财产物资进行清查、盘点、核对、处理，对取得的资产实物及时进行会计核算。</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“三公经费”管理严格。2020年度，日常公用经费及三公经费有所下降、各项管理制度健全、资金使用合规。</w:t>
      </w:r>
    </w:p>
    <w:p>
      <w:pPr>
        <w:pStyle w:val="32"/>
        <w:spacing w:line="580" w:lineRule="exact"/>
        <w:ind w:firstLine="600" w:firstLineChars="200"/>
        <w:rPr>
          <w:rFonts w:ascii="仿宋" w:hAnsi="仿宋" w:eastAsia="仿宋" w:cs="Times New Roman"/>
          <w:color w:val="auto"/>
          <w:sz w:val="30"/>
          <w:szCs w:val="30"/>
        </w:rPr>
      </w:pPr>
      <w:r>
        <w:rPr>
          <w:rFonts w:hint="eastAsia" w:ascii="仿宋" w:hAnsi="仿宋" w:eastAsia="仿宋" w:cs="Times New Roman"/>
          <w:color w:val="auto"/>
          <w:sz w:val="30"/>
          <w:szCs w:val="30"/>
        </w:rPr>
        <w:t>信息公开及时。按时在我台门户网和市财政网上进行了预决算信息公开，没有收到任何不良反应。积极配合相关部门的监督检查，未发现违规使用资金的现象。积极组织干部职工和财会人员学习财经制度，增强财经意识，财政资金使用目标明确，程序合法，使用得当。</w:t>
      </w:r>
    </w:p>
    <w:p>
      <w:pPr>
        <w:pStyle w:val="32"/>
        <w:adjustRightInd w:val="0"/>
        <w:snapToGrid w:val="0"/>
        <w:spacing w:line="560" w:lineRule="exact"/>
        <w:ind w:firstLine="708" w:firstLineChars="236"/>
        <w:rPr>
          <w:rFonts w:ascii="楷体" w:hAnsi="楷体" w:eastAsia="楷体" w:cs="楷体"/>
          <w:color w:val="auto"/>
          <w:sz w:val="30"/>
          <w:szCs w:val="30"/>
        </w:rPr>
      </w:pPr>
      <w:r>
        <w:rPr>
          <w:rFonts w:hint="eastAsia" w:ascii="楷体" w:hAnsi="楷体" w:eastAsia="楷体" w:cs="楷体"/>
          <w:color w:val="auto"/>
          <w:sz w:val="30"/>
          <w:szCs w:val="30"/>
        </w:rPr>
        <w:t>4、综合绩效情况。</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2020年，我台通过加强预算收支管理，不断建立健全内部管理制度，梳理内部管理流程，部门整体支出管理水平得到提升。较好的完成了年度工作目标，年度市级目标考核再次获得一等奖励。</w:t>
      </w:r>
    </w:p>
    <w:p>
      <w:pPr>
        <w:pStyle w:val="2"/>
        <w:adjustRightInd w:val="0"/>
        <w:snapToGrid w:val="0"/>
        <w:spacing w:beforeLines="0" w:line="600" w:lineRule="exact"/>
        <w:ind w:firstLine="704" w:firstLineChars="220"/>
        <w:rPr>
          <w:rFonts w:ascii="仿宋" w:hAnsi="仿宋" w:eastAsia="仿宋"/>
          <w:sz w:val="32"/>
          <w:szCs w:val="32"/>
        </w:rPr>
      </w:pPr>
      <w:r>
        <w:rPr>
          <w:rFonts w:hint="eastAsia" w:ascii="仿宋" w:hAnsi="仿宋" w:eastAsia="仿宋"/>
          <w:sz w:val="32"/>
          <w:szCs w:val="32"/>
        </w:rPr>
        <w:t xml:space="preserve"> (1)提升宣传质量，凝聚发展强大合力。</w:t>
      </w:r>
    </w:p>
    <w:p>
      <w:pPr>
        <w:pStyle w:val="2"/>
        <w:adjustRightInd w:val="0"/>
        <w:snapToGrid w:val="0"/>
        <w:spacing w:beforeLines="0" w:line="600" w:lineRule="exact"/>
        <w:ind w:firstLine="704" w:firstLineChars="220"/>
        <w:rPr>
          <w:rFonts w:ascii="仿宋" w:hAnsi="仿宋" w:eastAsia="仿宋"/>
          <w:sz w:val="32"/>
          <w:szCs w:val="32"/>
        </w:rPr>
      </w:pPr>
      <w:r>
        <w:rPr>
          <w:rFonts w:hint="eastAsia" w:ascii="仿宋" w:hAnsi="仿宋" w:eastAsia="仿宋"/>
          <w:sz w:val="32"/>
          <w:szCs w:val="32"/>
        </w:rPr>
        <w:t>紧紧围绕市委、市政府重大决策部署，发挥主流媒体传播优势和引领作用，高扬主旋律、打好主动仗，创新抓好新闻宣传，不断营造团结鼓劲向上的氛围。（一）凝心聚力做好对内宣传。切实扛牢媒体责任，紧扣疫情防控、“六稳六保”、脱贫攻坚、文明城市创建等主题主线，全力抓好对内宣传，营造振兴发展良好舆论氛围。二是重磅开展重大项目推进宣传。三是深入开展决胜脱贫攻坚宣传。四是扎实开展文明创建宣传。</w:t>
      </w:r>
    </w:p>
    <w:p>
      <w:pPr>
        <w:pStyle w:val="2"/>
        <w:adjustRightInd w:val="0"/>
        <w:snapToGrid w:val="0"/>
        <w:spacing w:beforeLines="0" w:line="600" w:lineRule="exact"/>
        <w:ind w:firstLine="704" w:firstLineChars="220"/>
        <w:rPr>
          <w:rFonts w:ascii="仿宋" w:hAnsi="仿宋" w:eastAsia="仿宋"/>
          <w:sz w:val="32"/>
          <w:szCs w:val="32"/>
        </w:rPr>
      </w:pPr>
      <w:r>
        <w:rPr>
          <w:rFonts w:hint="eastAsia" w:ascii="仿宋" w:hAnsi="仿宋" w:eastAsia="仿宋"/>
          <w:sz w:val="32"/>
          <w:szCs w:val="32"/>
        </w:rPr>
        <w:t>（2）出新出彩提升对外影响。坚持把上央视攻联播、上川台攻头条作为主攻方向，全年外宣工作位列全省市州前列。2020年，我市电视外宣工作取得显著成绩，在央视发稿再次突破100条大关，达到115条，其中《新闻联播》9条，《焦点访谈》2期；在川台用稿322条，其中《四川新闻》148条；在《央广网》用稿3条，《中国乡村之声》用稿2条，四川新闻综合广播用稿283条。极大提升了巴中影响力、美誉度。一是着力展示抗击疫情巴中担当。二是着力凸显“六稳”“六保”巴中作为。三是着力聚焦脱贫攻坚巴中蝶变。四是着力用好“学习强国”平台展示巴中形象。</w:t>
      </w:r>
    </w:p>
    <w:p>
      <w:pPr>
        <w:pStyle w:val="2"/>
        <w:adjustRightInd w:val="0"/>
        <w:snapToGrid w:val="0"/>
        <w:spacing w:beforeLines="0" w:line="600" w:lineRule="exact"/>
        <w:ind w:firstLine="704" w:firstLineChars="220"/>
        <w:rPr>
          <w:rFonts w:ascii="仿宋" w:hAnsi="仿宋" w:eastAsia="仿宋"/>
          <w:sz w:val="32"/>
          <w:szCs w:val="32"/>
        </w:rPr>
      </w:pPr>
      <w:r>
        <w:rPr>
          <w:rFonts w:hint="eastAsia" w:ascii="仿宋" w:hAnsi="仿宋" w:eastAsia="仿宋"/>
          <w:sz w:val="32"/>
          <w:szCs w:val="32"/>
        </w:rPr>
        <w:t>（3）服务大局举办媒体活动。坚持以活动为抓手，共举办“宣讲市委四届十次全会精神暨创文进社区”“巴中春秋季房产交易会”等大型活动20多场。共开展网络直播20多场次。无线巴中APP直播时段点击率为64.48万次，点赞43.88万次。红叶节期间，首次推出了光雾山景区24小时直播，累计点击率超过100万次。</w:t>
      </w:r>
    </w:p>
    <w:p>
      <w:pPr>
        <w:pStyle w:val="2"/>
        <w:adjustRightInd w:val="0"/>
        <w:snapToGrid w:val="0"/>
        <w:spacing w:beforeLines="0" w:line="600" w:lineRule="exact"/>
        <w:ind w:firstLine="704" w:firstLineChars="220"/>
        <w:rPr>
          <w:rFonts w:ascii="仿宋" w:hAnsi="仿宋" w:eastAsia="仿宋"/>
          <w:sz w:val="32"/>
          <w:szCs w:val="32"/>
        </w:rPr>
      </w:pPr>
      <w:r>
        <w:rPr>
          <w:rFonts w:hint="eastAsia" w:ascii="仿宋" w:hAnsi="仿宋" w:eastAsia="仿宋"/>
          <w:sz w:val="32"/>
          <w:szCs w:val="32"/>
        </w:rPr>
        <w:t>（4）创优推优打造精品力作。立足巴中文化资源禀赋，拍摄制作完成《探秘巴文化》（第二季）纪录片5集。 “巴人巴风”系列连环画第二部《名人名事》正式公开发行。《永远的巴山红叶——王瑛的故事》，于9月14日举行了全国首发仪式。2019年度四川新闻奖评选，9件作品获奖。组织参加“精彩短视频·记录新时代”2020 年四川省短视频创作传播活动，前三季度共有13件作品获奖。</w:t>
      </w:r>
    </w:p>
    <w:p>
      <w:pPr>
        <w:pStyle w:val="2"/>
        <w:adjustRightInd w:val="0"/>
        <w:snapToGrid w:val="0"/>
        <w:spacing w:beforeLines="0" w:line="600" w:lineRule="exact"/>
        <w:ind w:firstLine="704" w:firstLineChars="220"/>
        <w:rPr>
          <w:rFonts w:ascii="仿宋" w:hAnsi="仿宋" w:eastAsia="仿宋"/>
          <w:sz w:val="32"/>
          <w:szCs w:val="32"/>
        </w:rPr>
      </w:pPr>
      <w:r>
        <w:rPr>
          <w:rFonts w:hint="eastAsia" w:ascii="仿宋" w:hAnsi="仿宋" w:eastAsia="仿宋"/>
          <w:sz w:val="32"/>
          <w:szCs w:val="32"/>
        </w:rPr>
        <w:t>（5）推进媒体融合，构建全媒传播格局</w:t>
      </w:r>
    </w:p>
    <w:p>
      <w:pPr>
        <w:pStyle w:val="2"/>
        <w:adjustRightInd w:val="0"/>
        <w:snapToGrid w:val="0"/>
        <w:spacing w:beforeLines="0" w:line="600" w:lineRule="exact"/>
        <w:ind w:firstLine="704" w:firstLineChars="220"/>
        <w:rPr>
          <w:rFonts w:ascii="仿宋" w:hAnsi="仿宋" w:eastAsia="仿宋"/>
          <w:sz w:val="32"/>
          <w:szCs w:val="32"/>
        </w:rPr>
      </w:pPr>
      <w:r>
        <w:rPr>
          <w:rFonts w:hint="eastAsia" w:ascii="仿宋" w:hAnsi="仿宋" w:eastAsia="仿宋"/>
          <w:sz w:val="32"/>
          <w:szCs w:val="32"/>
        </w:rPr>
        <w:t>确定移动优先战略，大胆探索、积极作为，坚定不移推进媒体深度融合，传播阵地得到拓展，融合新闻生产能力明显提高。1月由我台牵头建设的市融媒体中心开始试运行，创新构架“省级平台技术支撑、市级统筹联动、市区县独立运营”的三级联通融媒体系。全台新媒体集群粉丝达到150多万，重点打造了以“直播巴中”为主干的抖音集群，粉丝80万；以“巴中新闻”为主干的微信公众号集群，粉丝18万；以“巴中广播”为主干的微博集群，粉丝10万；“无线巴中”APP用户43万，切实做到大屏小屏集群发声。</w:t>
      </w:r>
    </w:p>
    <w:p>
      <w:pPr>
        <w:pStyle w:val="2"/>
        <w:adjustRightInd w:val="0"/>
        <w:snapToGrid w:val="0"/>
        <w:spacing w:beforeLines="0" w:line="600" w:lineRule="exact"/>
        <w:ind w:firstLine="704" w:firstLineChars="220"/>
        <w:rPr>
          <w:rFonts w:ascii="仿宋" w:hAnsi="仿宋" w:eastAsia="仿宋"/>
          <w:sz w:val="32"/>
          <w:szCs w:val="32"/>
        </w:rPr>
      </w:pPr>
      <w:r>
        <w:rPr>
          <w:rFonts w:hint="eastAsia" w:ascii="仿宋" w:hAnsi="仿宋" w:eastAsia="仿宋"/>
          <w:sz w:val="32"/>
          <w:szCs w:val="32"/>
        </w:rPr>
        <w:t>（6）强化技术支撑保障。先后完成了电视高清改造、电台数字化改造、无线巴中APP2.0版升级改造，2020年上半年完成了七楼演播大厅音响、舞台灯光、背景显示屏和导播切换系统等改造升级，部分弥补了设施设备空白。严格执行值班制度，加强对节目的实时监听监看，杜绝播出安全事故。全年无安全播出事故。</w:t>
      </w:r>
    </w:p>
    <w:p>
      <w:pPr>
        <w:pStyle w:val="32"/>
        <w:adjustRightInd w:val="0"/>
        <w:snapToGrid w:val="0"/>
        <w:spacing w:line="560" w:lineRule="exact"/>
        <w:ind w:firstLine="708" w:firstLineChars="236"/>
        <w:rPr>
          <w:rFonts w:ascii="黑体" w:hAnsi="黑体" w:eastAsia="黑体" w:cs="Times New Roman"/>
          <w:color w:val="auto"/>
          <w:sz w:val="30"/>
          <w:szCs w:val="30"/>
        </w:rPr>
      </w:pPr>
      <w:r>
        <w:rPr>
          <w:rFonts w:hint="eastAsia" w:ascii="黑体" w:hAnsi="黑体" w:eastAsia="黑体" w:cs="Times New Roman"/>
          <w:color w:val="auto"/>
          <w:sz w:val="30"/>
          <w:szCs w:val="30"/>
        </w:rPr>
        <w:t>四、评价结论及建议</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楷体" w:hAnsi="楷体" w:eastAsia="楷体" w:cs="楷体"/>
          <w:color w:val="auto"/>
          <w:sz w:val="30"/>
          <w:szCs w:val="30"/>
        </w:rPr>
        <w:t>1、评价结论。</w:t>
      </w:r>
      <w:r>
        <w:rPr>
          <w:rFonts w:ascii="仿宋" w:hAnsi="仿宋" w:eastAsia="仿宋" w:cs="Times New Roman"/>
          <w:color w:val="auto"/>
          <w:sz w:val="30"/>
          <w:szCs w:val="30"/>
        </w:rPr>
        <w:t>根据部门整体支出绩效评价指标规定的内容，经认真自评，20</w:t>
      </w:r>
      <w:r>
        <w:rPr>
          <w:rFonts w:hint="eastAsia" w:ascii="仿宋" w:hAnsi="仿宋" w:eastAsia="仿宋" w:cs="Times New Roman"/>
          <w:color w:val="auto"/>
          <w:sz w:val="30"/>
          <w:szCs w:val="30"/>
        </w:rPr>
        <w:t>20</w:t>
      </w:r>
      <w:r>
        <w:rPr>
          <w:rFonts w:ascii="仿宋" w:hAnsi="仿宋" w:eastAsia="仿宋" w:cs="Times New Roman"/>
          <w:color w:val="auto"/>
          <w:sz w:val="30"/>
          <w:szCs w:val="30"/>
        </w:rPr>
        <w:t>年度</w:t>
      </w:r>
      <w:r>
        <w:rPr>
          <w:rFonts w:hint="eastAsia" w:ascii="仿宋" w:hAnsi="仿宋" w:eastAsia="仿宋" w:cs="Times New Roman"/>
          <w:color w:val="auto"/>
          <w:sz w:val="30"/>
          <w:szCs w:val="30"/>
        </w:rPr>
        <w:t>我台</w:t>
      </w:r>
      <w:r>
        <w:rPr>
          <w:rFonts w:ascii="仿宋" w:hAnsi="仿宋" w:eastAsia="仿宋" w:cs="Times New Roman"/>
          <w:color w:val="auto"/>
          <w:sz w:val="30"/>
          <w:szCs w:val="30"/>
        </w:rPr>
        <w:t>整体支出绩效</w:t>
      </w:r>
      <w:r>
        <w:rPr>
          <w:rFonts w:hint="eastAsia" w:ascii="仿宋" w:hAnsi="仿宋" w:eastAsia="仿宋" w:cs="Times New Roman"/>
          <w:color w:val="auto"/>
          <w:sz w:val="30"/>
          <w:szCs w:val="30"/>
        </w:rPr>
        <w:t>与年初预算申报的绩效目标相符，圆满完成了各项目标任务，达到了预期的效果，</w:t>
      </w:r>
      <w:r>
        <w:rPr>
          <w:rFonts w:ascii="仿宋" w:hAnsi="仿宋" w:eastAsia="仿宋" w:cs="Times New Roman"/>
          <w:color w:val="auto"/>
          <w:sz w:val="30"/>
          <w:szCs w:val="30"/>
        </w:rPr>
        <w:t>自评得分为9</w:t>
      </w:r>
      <w:r>
        <w:rPr>
          <w:rFonts w:hint="eastAsia" w:ascii="仿宋" w:hAnsi="仿宋" w:eastAsia="仿宋" w:cs="Times New Roman"/>
          <w:color w:val="auto"/>
          <w:sz w:val="30"/>
          <w:szCs w:val="30"/>
        </w:rPr>
        <w:t>7分，</w:t>
      </w:r>
      <w:r>
        <w:rPr>
          <w:rFonts w:ascii="仿宋" w:hAnsi="仿宋" w:eastAsia="仿宋" w:cs="Times New Roman"/>
          <w:color w:val="auto"/>
          <w:sz w:val="30"/>
          <w:szCs w:val="30"/>
        </w:rPr>
        <w:t xml:space="preserve"> 绩效评价等级为“优”。 </w:t>
      </w:r>
    </w:p>
    <w:p>
      <w:pPr>
        <w:pStyle w:val="32"/>
        <w:adjustRightInd w:val="0"/>
        <w:snapToGrid w:val="0"/>
        <w:spacing w:line="560" w:lineRule="exact"/>
        <w:ind w:firstLine="708" w:firstLineChars="236"/>
        <w:rPr>
          <w:rFonts w:ascii="楷体" w:hAnsi="楷体" w:eastAsia="楷体" w:cs="楷体"/>
          <w:color w:val="auto"/>
          <w:sz w:val="30"/>
          <w:szCs w:val="30"/>
        </w:rPr>
      </w:pPr>
      <w:r>
        <w:rPr>
          <w:rFonts w:hint="eastAsia" w:ascii="楷体" w:hAnsi="楷体" w:eastAsia="楷体" w:cs="楷体"/>
          <w:color w:val="auto"/>
          <w:sz w:val="30"/>
          <w:szCs w:val="30"/>
        </w:rPr>
        <w:t>2、存在的问题。</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我台做为全额财拨事业单位，一是聘用人员经费没有保障，靠自主创收难以保障聘用人员的合理待遇。二是项目资金缺口较大，做为党委政府的宣传机构，除了正常的新闻宣传，还要开办各类人民群众喜闻乐听的广播电视节目，负责对外宣传巴中，开办生产节目的项目经费与实际所需差距甚大。三是设施设备投入严重不足。</w:t>
      </w:r>
      <w:r>
        <w:rPr>
          <w:rFonts w:ascii="仿宋" w:hAnsi="仿宋" w:eastAsia="仿宋" w:cs="Times New Roman"/>
          <w:color w:val="auto"/>
          <w:sz w:val="30"/>
          <w:szCs w:val="30"/>
        </w:rPr>
        <w:t>四是时政宣传、节目制作录制、非税收入成本等项目实际</w:t>
      </w:r>
      <w:r>
        <w:rPr>
          <w:rFonts w:hint="eastAsia" w:ascii="仿宋" w:hAnsi="仿宋" w:eastAsia="仿宋" w:cs="Times New Roman"/>
          <w:color w:val="auto"/>
          <w:sz w:val="30"/>
          <w:szCs w:val="30"/>
        </w:rPr>
        <w:t>是单位运转和经营类支出项目，长期列为发展类项目申报、管理、评价与真正的事业建设发展类项目不相适应。五是事业建设项目大多一事一议报告方式解决，年初没有申报政府采购，导致政府采购实际支出与年初预算申报差距较大。</w:t>
      </w:r>
    </w:p>
    <w:p>
      <w:pPr>
        <w:pStyle w:val="32"/>
        <w:adjustRightInd w:val="0"/>
        <w:snapToGrid w:val="0"/>
        <w:spacing w:line="560" w:lineRule="exact"/>
        <w:ind w:firstLine="708" w:firstLineChars="236"/>
        <w:rPr>
          <w:rFonts w:ascii="楷体" w:hAnsi="楷体" w:eastAsia="楷体" w:cs="楷体"/>
          <w:color w:val="auto"/>
          <w:sz w:val="30"/>
          <w:szCs w:val="30"/>
        </w:rPr>
      </w:pPr>
      <w:r>
        <w:rPr>
          <w:rFonts w:hint="eastAsia" w:ascii="楷体" w:hAnsi="楷体" w:eastAsia="楷体" w:cs="楷体"/>
          <w:color w:val="auto"/>
          <w:sz w:val="30"/>
          <w:szCs w:val="30"/>
        </w:rPr>
        <w:t>3、改进与建议</w:t>
      </w:r>
    </w:p>
    <w:p>
      <w:pPr>
        <w:pStyle w:val="32"/>
        <w:adjustRightInd w:val="0"/>
        <w:snapToGrid w:val="0"/>
        <w:spacing w:line="560" w:lineRule="exact"/>
        <w:ind w:firstLine="708" w:firstLineChars="236"/>
        <w:rPr>
          <w:rFonts w:hint="eastAsia" w:ascii="仿宋" w:hAnsi="仿宋" w:eastAsia="仿宋" w:cs="Times New Roman"/>
          <w:color w:val="auto"/>
          <w:sz w:val="30"/>
          <w:szCs w:val="30"/>
        </w:rPr>
      </w:pPr>
      <w:r>
        <w:rPr>
          <w:rFonts w:hint="eastAsia" w:ascii="仿宋" w:hAnsi="仿宋" w:eastAsia="仿宋" w:cs="Times New Roman"/>
          <w:color w:val="auto"/>
          <w:sz w:val="30"/>
          <w:szCs w:val="30"/>
        </w:rPr>
        <w:t>改进措施：在今后的工作中，一是要增强绩效管理的理念，把每一笔钱用在刀刃上、用出成效，</w:t>
      </w:r>
      <w:r>
        <w:rPr>
          <w:rFonts w:hint="eastAsia" w:ascii="仿宋" w:hAnsi="仿宋" w:eastAsia="仿宋" w:cs="Times New Roman"/>
          <w:color w:val="auto"/>
          <w:sz w:val="30"/>
          <w:szCs w:val="30"/>
        </w:rPr>
        <w:t>进一步加强资金管理，合理有效地提高资金使用效率。二是确定合理的绩效目标，结合单位业务工作，制订相应绩效目标指标体系，</w:t>
      </w:r>
      <w:r>
        <w:rPr>
          <w:rFonts w:hint="eastAsia" w:ascii="仿宋" w:hAnsi="仿宋" w:eastAsia="仿宋" w:cs="Times New Roman"/>
          <w:color w:val="auto"/>
          <w:sz w:val="30"/>
          <w:szCs w:val="30"/>
        </w:rPr>
        <w:t>切忌贪大求洋，力求实效。三是加强绩效监控管理，要做到决策有依据，实施有监督，事后有检查绩效管理责任体系，确保绩效目标按时按量完成。</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有关建议：建议据实增加预算投入，缩小预算和与实际资金需求的差异。</w:t>
      </w:r>
    </w:p>
    <w:p>
      <w:pPr>
        <w:pStyle w:val="32"/>
        <w:adjustRightInd w:val="0"/>
        <w:snapToGrid w:val="0"/>
        <w:spacing w:line="560" w:lineRule="exact"/>
        <w:ind w:firstLine="708" w:firstLineChars="236"/>
        <w:jc w:val="center"/>
        <w:rPr>
          <w:rFonts w:hint="eastAsia" w:ascii="黑体" w:hAnsi="黑体" w:eastAsia="黑体" w:cs="黑体"/>
          <w:color w:val="auto"/>
          <w:sz w:val="30"/>
          <w:szCs w:val="30"/>
        </w:rPr>
      </w:pPr>
      <w:r>
        <w:rPr>
          <w:rFonts w:hint="eastAsia" w:ascii="黑体" w:hAnsi="黑体" w:eastAsia="黑体" w:cs="黑体"/>
          <w:color w:val="auto"/>
          <w:sz w:val="30"/>
          <w:szCs w:val="30"/>
        </w:rPr>
        <w:t>巴中市广播电视台2020年市级部门整体支出绩效评价</w:t>
      </w:r>
    </w:p>
    <w:p>
      <w:pPr>
        <w:pStyle w:val="32"/>
        <w:adjustRightInd w:val="0"/>
        <w:snapToGrid w:val="0"/>
        <w:spacing w:line="560" w:lineRule="exact"/>
        <w:ind w:firstLine="708" w:firstLineChars="236"/>
        <w:jc w:val="center"/>
        <w:rPr>
          <w:rFonts w:hint="eastAsia" w:ascii="黑体" w:hAnsi="黑体" w:eastAsia="黑体" w:cs="黑体"/>
          <w:color w:val="auto"/>
          <w:sz w:val="30"/>
          <w:szCs w:val="30"/>
        </w:rPr>
      </w:pPr>
      <w:r>
        <w:rPr>
          <w:rFonts w:hint="eastAsia" w:ascii="黑体" w:hAnsi="黑体" w:eastAsia="黑体" w:cs="黑体"/>
          <w:color w:val="auto"/>
          <w:sz w:val="30"/>
          <w:szCs w:val="30"/>
        </w:rPr>
        <w:t>指标体系自评分表</w:t>
      </w:r>
    </w:p>
    <w:tbl>
      <w:tblPr>
        <w:tblStyle w:val="12"/>
        <w:tblW w:w="9060" w:type="dxa"/>
        <w:tblInd w:w="89" w:type="dxa"/>
        <w:tblLayout w:type="autofit"/>
        <w:tblCellMar>
          <w:top w:w="0" w:type="dxa"/>
          <w:left w:w="108" w:type="dxa"/>
          <w:bottom w:w="0" w:type="dxa"/>
          <w:right w:w="108" w:type="dxa"/>
        </w:tblCellMar>
      </w:tblPr>
      <w:tblGrid>
        <w:gridCol w:w="621"/>
        <w:gridCol w:w="582"/>
        <w:gridCol w:w="542"/>
        <w:gridCol w:w="546"/>
        <w:gridCol w:w="2918"/>
        <w:gridCol w:w="3275"/>
        <w:gridCol w:w="576"/>
      </w:tblGrid>
      <w:tr>
        <w:tblPrEx>
          <w:tblCellMar>
            <w:top w:w="0" w:type="dxa"/>
            <w:left w:w="108" w:type="dxa"/>
            <w:bottom w:w="0" w:type="dxa"/>
            <w:right w:w="108" w:type="dxa"/>
          </w:tblCellMar>
        </w:tblPrEx>
        <w:trPr>
          <w:trHeight w:val="450" w:hRule="atLeast"/>
        </w:trPr>
        <w:tc>
          <w:tcPr>
            <w:tcW w:w="9060" w:type="dxa"/>
            <w:gridSpan w:val="7"/>
            <w:tcBorders>
              <w:top w:val="nil"/>
              <w:left w:val="nil"/>
              <w:bottom w:val="nil"/>
              <w:right w:val="nil"/>
            </w:tcBorders>
            <w:shd w:val="clear" w:color="auto" w:fill="auto"/>
            <w:noWrap/>
            <w:vAlign w:val="center"/>
          </w:tcPr>
          <w:p>
            <w:pPr>
              <w:widowControl/>
              <w:jc w:val="center"/>
              <w:rPr>
                <w:rFonts w:ascii="黑体" w:hAnsi="黑体" w:eastAsia="黑体" w:cs="Tahoma"/>
                <w:color w:val="000000"/>
                <w:kern w:val="0"/>
                <w:sz w:val="36"/>
                <w:szCs w:val="36"/>
              </w:rPr>
            </w:pPr>
            <w:r>
              <w:rPr>
                <w:rFonts w:hint="eastAsia" w:ascii="黑体" w:hAnsi="黑体" w:eastAsia="黑体" w:cs="Tahoma"/>
                <w:color w:val="000000"/>
                <w:kern w:val="0"/>
                <w:sz w:val="32"/>
                <w:szCs w:val="32"/>
              </w:rPr>
              <w:t>2020年市级部门整体支出绩效评价指标体系</w:t>
            </w:r>
          </w:p>
        </w:tc>
      </w:tr>
      <w:tr>
        <w:tblPrEx>
          <w:tblCellMar>
            <w:top w:w="0" w:type="dxa"/>
            <w:left w:w="108" w:type="dxa"/>
            <w:bottom w:w="0" w:type="dxa"/>
            <w:right w:w="108" w:type="dxa"/>
          </w:tblCellMar>
        </w:tblPrEx>
        <w:trPr>
          <w:trHeight w:val="480" w:hRule="atLeast"/>
        </w:trPr>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b/>
                <w:bCs/>
                <w:color w:val="000000"/>
                <w:kern w:val="0"/>
                <w:sz w:val="18"/>
                <w:szCs w:val="18"/>
              </w:rPr>
            </w:pPr>
            <w:r>
              <w:rPr>
                <w:rFonts w:hint="eastAsia" w:ascii="方正仿宋简体" w:hAnsi="Tahoma" w:eastAsia="方正仿宋简体" w:cs="Tahoma"/>
                <w:b/>
                <w:bCs/>
                <w:color w:val="000000"/>
                <w:kern w:val="0"/>
                <w:sz w:val="18"/>
                <w:szCs w:val="18"/>
              </w:rPr>
              <w:t>一级指标</w:t>
            </w:r>
          </w:p>
        </w:tc>
        <w:tc>
          <w:tcPr>
            <w:tcW w:w="5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b/>
                <w:bCs/>
                <w:color w:val="000000"/>
                <w:kern w:val="0"/>
                <w:sz w:val="18"/>
                <w:szCs w:val="18"/>
              </w:rPr>
            </w:pPr>
            <w:r>
              <w:rPr>
                <w:rFonts w:hint="eastAsia" w:ascii="方正仿宋简体" w:hAnsi="Tahoma" w:eastAsia="方正仿宋简体" w:cs="Tahoma"/>
                <w:b/>
                <w:bCs/>
                <w:color w:val="000000"/>
                <w:kern w:val="0"/>
                <w:sz w:val="18"/>
                <w:szCs w:val="18"/>
              </w:rPr>
              <w:t>二级指标</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b/>
                <w:bCs/>
                <w:color w:val="000000"/>
                <w:kern w:val="0"/>
                <w:sz w:val="18"/>
                <w:szCs w:val="18"/>
              </w:rPr>
            </w:pPr>
            <w:r>
              <w:rPr>
                <w:rFonts w:hint="eastAsia" w:ascii="方正仿宋简体" w:hAnsi="Tahoma" w:eastAsia="方正仿宋简体" w:cs="Tahoma"/>
                <w:b/>
                <w:bCs/>
                <w:color w:val="000000"/>
                <w:kern w:val="0"/>
                <w:sz w:val="18"/>
                <w:szCs w:val="18"/>
              </w:rPr>
              <w:t>三级指标</w:t>
            </w:r>
          </w:p>
        </w:tc>
        <w:tc>
          <w:tcPr>
            <w:tcW w:w="5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b/>
                <w:bCs/>
                <w:color w:val="000000"/>
                <w:kern w:val="0"/>
                <w:sz w:val="18"/>
                <w:szCs w:val="18"/>
              </w:rPr>
            </w:pPr>
            <w:r>
              <w:rPr>
                <w:rFonts w:hint="eastAsia" w:ascii="方正仿宋简体" w:hAnsi="Tahoma" w:eastAsia="方正仿宋简体" w:cs="Tahoma"/>
                <w:b/>
                <w:bCs/>
                <w:color w:val="000000"/>
                <w:kern w:val="0"/>
                <w:sz w:val="18"/>
                <w:szCs w:val="18"/>
              </w:rPr>
              <w:t>分值</w:t>
            </w:r>
          </w:p>
        </w:tc>
        <w:tc>
          <w:tcPr>
            <w:tcW w:w="29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b/>
                <w:bCs/>
                <w:color w:val="000000"/>
                <w:kern w:val="0"/>
                <w:sz w:val="18"/>
                <w:szCs w:val="18"/>
              </w:rPr>
            </w:pPr>
            <w:r>
              <w:rPr>
                <w:rFonts w:hint="eastAsia" w:ascii="方正仿宋简体" w:hAnsi="Tahoma" w:eastAsia="方正仿宋简体" w:cs="Tahoma"/>
                <w:b/>
                <w:bCs/>
                <w:color w:val="000000"/>
                <w:kern w:val="0"/>
                <w:sz w:val="18"/>
                <w:szCs w:val="18"/>
              </w:rPr>
              <w:t>评价内容</w:t>
            </w:r>
          </w:p>
        </w:tc>
        <w:tc>
          <w:tcPr>
            <w:tcW w:w="32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b/>
                <w:bCs/>
                <w:color w:val="000000"/>
                <w:kern w:val="0"/>
                <w:sz w:val="18"/>
                <w:szCs w:val="18"/>
              </w:rPr>
            </w:pPr>
            <w:r>
              <w:rPr>
                <w:rFonts w:hint="eastAsia" w:ascii="方正仿宋简体" w:hAnsi="Tahoma" w:eastAsia="方正仿宋简体" w:cs="Tahoma"/>
                <w:b/>
                <w:bCs/>
                <w:color w:val="000000"/>
                <w:kern w:val="0"/>
                <w:sz w:val="18"/>
                <w:szCs w:val="18"/>
              </w:rPr>
              <w:t>评价标准及计算方法</w:t>
            </w:r>
          </w:p>
        </w:tc>
        <w:tc>
          <w:tcPr>
            <w:tcW w:w="5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b/>
                <w:bCs/>
                <w:color w:val="000000"/>
                <w:kern w:val="0"/>
                <w:sz w:val="18"/>
                <w:szCs w:val="18"/>
              </w:rPr>
            </w:pPr>
            <w:r>
              <w:rPr>
                <w:rFonts w:hint="eastAsia" w:ascii="方正仿宋简体" w:hAnsi="Tahoma" w:eastAsia="方正仿宋简体" w:cs="Tahoma"/>
                <w:b/>
                <w:bCs/>
                <w:color w:val="000000"/>
                <w:kern w:val="0"/>
                <w:sz w:val="18"/>
                <w:szCs w:val="18"/>
              </w:rPr>
              <w:t>评价得分</w:t>
            </w:r>
          </w:p>
        </w:tc>
      </w:tr>
      <w:tr>
        <w:tblPrEx>
          <w:tblCellMar>
            <w:top w:w="0" w:type="dxa"/>
            <w:left w:w="108" w:type="dxa"/>
            <w:bottom w:w="0" w:type="dxa"/>
            <w:right w:w="108" w:type="dxa"/>
          </w:tblCellMar>
        </w:tblPrEx>
        <w:trPr>
          <w:trHeight w:val="285" w:hRule="atLeast"/>
        </w:trPr>
        <w:tc>
          <w:tcPr>
            <w:tcW w:w="848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b/>
                <w:bCs/>
                <w:color w:val="000000"/>
                <w:kern w:val="0"/>
                <w:sz w:val="18"/>
                <w:szCs w:val="18"/>
              </w:rPr>
            </w:pPr>
            <w:r>
              <w:rPr>
                <w:rFonts w:hint="eastAsia" w:ascii="方正仿宋简体" w:hAnsi="Tahoma" w:eastAsia="方正仿宋简体" w:cs="Tahoma"/>
                <w:b/>
                <w:bCs/>
                <w:color w:val="000000"/>
                <w:kern w:val="0"/>
                <w:sz w:val="18"/>
                <w:szCs w:val="18"/>
              </w:rPr>
              <w:t>评价得分</w:t>
            </w:r>
          </w:p>
        </w:tc>
        <w:tc>
          <w:tcPr>
            <w:tcW w:w="576" w:type="dxa"/>
            <w:tcBorders>
              <w:top w:val="nil"/>
              <w:left w:val="nil"/>
              <w:bottom w:val="single" w:color="auto" w:sz="4" w:space="0"/>
              <w:right w:val="single" w:color="auto" w:sz="4" w:space="0"/>
            </w:tcBorders>
            <w:shd w:val="clear" w:color="auto" w:fill="auto"/>
            <w:noWrap/>
            <w:vAlign w:val="center"/>
          </w:tcPr>
          <w:p>
            <w:pPr>
              <w:widowControl/>
              <w:jc w:val="left"/>
              <w:rPr>
                <w:rFonts w:ascii="方正仿宋简体" w:hAnsi="Tahoma" w:eastAsia="方正仿宋简体" w:cs="Tahoma"/>
                <w:b/>
                <w:bCs/>
                <w:color w:val="000000"/>
                <w:kern w:val="0"/>
                <w:sz w:val="18"/>
                <w:szCs w:val="18"/>
              </w:rPr>
            </w:pPr>
            <w:r>
              <w:rPr>
                <w:rFonts w:hint="eastAsia" w:ascii="方正仿宋简体" w:hAnsi="Tahoma" w:eastAsia="方正仿宋简体" w:cs="Tahoma"/>
                <w:b/>
                <w:bCs/>
                <w:color w:val="000000"/>
                <w:kern w:val="0"/>
                <w:sz w:val="18"/>
                <w:szCs w:val="18"/>
              </w:rPr>
              <w:t>　</w:t>
            </w:r>
          </w:p>
        </w:tc>
      </w:tr>
      <w:tr>
        <w:tblPrEx>
          <w:tblCellMar>
            <w:top w:w="0" w:type="dxa"/>
            <w:left w:w="108" w:type="dxa"/>
            <w:bottom w:w="0" w:type="dxa"/>
            <w:right w:w="108" w:type="dxa"/>
          </w:tblCellMar>
        </w:tblPrEx>
        <w:trPr>
          <w:trHeight w:val="720" w:hRule="atLeast"/>
        </w:trPr>
        <w:tc>
          <w:tcPr>
            <w:tcW w:w="6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基础工作管理（30分）</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组织机构完善</w:t>
            </w:r>
          </w:p>
        </w:tc>
        <w:tc>
          <w:tcPr>
            <w:tcW w:w="54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4</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包括成立各种相应的组织机构</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成立相应组织机构、内控岗位设置合理得4分，组织机构不健全、内控岗位设置不合理相应扣分</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3</w:t>
            </w:r>
          </w:p>
        </w:tc>
      </w:tr>
      <w:tr>
        <w:tblPrEx>
          <w:tblCellMar>
            <w:top w:w="0" w:type="dxa"/>
            <w:left w:w="108" w:type="dxa"/>
            <w:bottom w:w="0" w:type="dxa"/>
            <w:right w:w="108" w:type="dxa"/>
          </w:tblCellMar>
        </w:tblPrEx>
        <w:trPr>
          <w:trHeight w:val="720"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管理制度完善</w:t>
            </w:r>
          </w:p>
        </w:tc>
        <w:tc>
          <w:tcPr>
            <w:tcW w:w="54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4</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包括制定财政资金管理办法、内控制度，会计核算制度等管理制度</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管理制度完善4分，制度不够完善相应扣分</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3</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82"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4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4</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部门制定的管理制度合法、合规、完整</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制度合法、合规、完整4分，反之相应扣分</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3</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82"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4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4</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部门制定的内控制度得到有效执行</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有效执行4分，未能有效执行相应扣分</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3</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指标体系完善</w:t>
            </w:r>
          </w:p>
        </w:tc>
        <w:tc>
          <w:tcPr>
            <w:tcW w:w="54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2</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部门制定的项目预算支出评价个性指标体系健全</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个性指标体系健全2分，指标体系不够健全相应扣分</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2</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宣传培训</w:t>
            </w:r>
          </w:p>
        </w:tc>
        <w:tc>
          <w:tcPr>
            <w:tcW w:w="54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2</w:t>
            </w:r>
          </w:p>
        </w:tc>
        <w:tc>
          <w:tcPr>
            <w:tcW w:w="2918" w:type="dxa"/>
            <w:tcBorders>
              <w:top w:val="nil"/>
              <w:left w:val="nil"/>
              <w:bottom w:val="single" w:color="auto" w:sz="4" w:space="0"/>
              <w:right w:val="single" w:color="auto" w:sz="4" w:space="0"/>
            </w:tcBorders>
            <w:shd w:val="clear" w:color="auto" w:fill="auto"/>
            <w:noWrap/>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部门对绩效评价工作开展的宣传培训</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开展了宣传培训2分，未能全面开展宣传培训相应扣分</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2</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82"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会计核算</w:t>
            </w:r>
          </w:p>
        </w:tc>
        <w:tc>
          <w:tcPr>
            <w:tcW w:w="542" w:type="dxa"/>
            <w:tcBorders>
              <w:top w:val="nil"/>
              <w:left w:val="nil"/>
              <w:bottom w:val="nil"/>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2</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会计核算及时</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会计核算及时，日清月结的得2分，核算不及时的相应扣分</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2</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82" w:type="dxa"/>
            <w:vMerge w:val="continue"/>
            <w:tcBorders>
              <w:top w:val="nil"/>
              <w:left w:val="single" w:color="auto" w:sz="4" w:space="0"/>
              <w:bottom w:val="nil"/>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42" w:type="dxa"/>
            <w:tcBorders>
              <w:top w:val="nil"/>
              <w:left w:val="nil"/>
              <w:bottom w:val="nil"/>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5</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会计核算规范</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会计核算规范、科目使用准确、原始发票及附件充分、分项目核算的得5分，否则相应扣分</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4</w:t>
            </w:r>
          </w:p>
        </w:tc>
      </w:tr>
      <w:tr>
        <w:tblPrEx>
          <w:tblCellMar>
            <w:top w:w="0" w:type="dxa"/>
            <w:left w:w="108" w:type="dxa"/>
            <w:bottom w:w="0" w:type="dxa"/>
            <w:right w:w="108" w:type="dxa"/>
          </w:tblCellMar>
        </w:tblPrEx>
        <w:trPr>
          <w:trHeight w:val="285"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82" w:type="dxa"/>
            <w:vMerge w:val="continue"/>
            <w:tcBorders>
              <w:top w:val="nil"/>
              <w:left w:val="single" w:color="auto" w:sz="4" w:space="0"/>
              <w:bottom w:val="nil"/>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42" w:type="dxa"/>
            <w:tcBorders>
              <w:top w:val="nil"/>
              <w:left w:val="nil"/>
              <w:bottom w:val="nil"/>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3</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会计档案规范</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会计档案整理规范的得3分，不规范的相应扣分</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3</w:t>
            </w:r>
          </w:p>
        </w:tc>
      </w:tr>
      <w:tr>
        <w:tblPrEx>
          <w:tblCellMar>
            <w:top w:w="0" w:type="dxa"/>
            <w:left w:w="108" w:type="dxa"/>
            <w:bottom w:w="0" w:type="dxa"/>
            <w:right w:w="108" w:type="dxa"/>
          </w:tblCellMar>
        </w:tblPrEx>
        <w:trPr>
          <w:trHeight w:val="720" w:hRule="atLeast"/>
        </w:trPr>
        <w:tc>
          <w:tcPr>
            <w:tcW w:w="6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绩效目标管理（15分）</w:t>
            </w:r>
          </w:p>
        </w:tc>
        <w:tc>
          <w:tcPr>
            <w:tcW w:w="58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绩效目标合理性　</w:t>
            </w:r>
          </w:p>
        </w:tc>
        <w:tc>
          <w:tcPr>
            <w:tcW w:w="54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000000" w:fill="FFFFFF"/>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2</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绩效目标管理符合国家法律法规、国民经济和社会发展总体规划</w:t>
            </w:r>
          </w:p>
        </w:tc>
        <w:tc>
          <w:tcPr>
            <w:tcW w:w="3278" w:type="dxa"/>
            <w:tcBorders>
              <w:top w:val="nil"/>
              <w:left w:val="nil"/>
              <w:bottom w:val="single" w:color="auto" w:sz="4" w:space="0"/>
              <w:right w:val="single" w:color="auto" w:sz="4" w:space="0"/>
            </w:tcBorders>
            <w:shd w:val="clear" w:color="000000" w:fill="FFFFFF"/>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绩效目标符合相关法规和总体规划2分，绩效目标不够合理的相应扣分</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2</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42" w:type="dxa"/>
            <w:tcBorders>
              <w:top w:val="nil"/>
              <w:left w:val="nil"/>
              <w:bottom w:val="single" w:color="auto" w:sz="4" w:space="0"/>
              <w:right w:val="single" w:color="auto" w:sz="4" w:space="0"/>
            </w:tcBorders>
            <w:shd w:val="clear" w:color="000000" w:fill="FFFFFF"/>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000000" w:fill="FFFFFF"/>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2</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绩效目标符合部门“三定”方案确定的职责</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绩效目标符合部分“三定”方案2分，不符合相应扣分</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2</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42" w:type="dxa"/>
            <w:tcBorders>
              <w:top w:val="nil"/>
              <w:left w:val="nil"/>
              <w:bottom w:val="single" w:color="auto" w:sz="4" w:space="0"/>
              <w:right w:val="single" w:color="auto" w:sz="4" w:space="0"/>
            </w:tcBorders>
            <w:shd w:val="clear" w:color="000000" w:fill="FFFFFF"/>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000000" w:fill="FFFFFF"/>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2</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绩效目标符合部门制定的中长期规划</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绩效目标符合部门制定的中长期规划2分，不符合相应扣分</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2</w:t>
            </w:r>
          </w:p>
        </w:tc>
      </w:tr>
      <w:tr>
        <w:tblPrEx>
          <w:tblCellMar>
            <w:top w:w="0" w:type="dxa"/>
            <w:left w:w="108" w:type="dxa"/>
            <w:bottom w:w="0" w:type="dxa"/>
            <w:right w:w="108" w:type="dxa"/>
          </w:tblCellMar>
        </w:tblPrEx>
        <w:trPr>
          <w:trHeight w:val="720"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绩效目标覆盖率　</w:t>
            </w:r>
          </w:p>
        </w:tc>
        <w:tc>
          <w:tcPr>
            <w:tcW w:w="54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4</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部门绩效目标覆盖率达到年度预算布置的要求</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绩效目标覆盖率＝实际申报绩效目标项目资金额/部门项目预算资金总额×100%。每低于10个百分点扣1分，扣完为止</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4</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绩效指标明确性　</w:t>
            </w:r>
          </w:p>
        </w:tc>
        <w:tc>
          <w:tcPr>
            <w:tcW w:w="54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2</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绩效目标申报表的填写完整</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申报表填写完整2分，不够完整相应扣分</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2</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82"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4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2</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绩效指标设置清晰、可衡量</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绩效指标设置清晰、可衡量2分，反之相应扣分</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2</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82"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4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1</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xml:space="preserve">绩效指标与本年度部门预算资金相匹配 </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绩效指标与资金相匹配1分，不完全匹配相应扣分</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1</w:t>
            </w:r>
          </w:p>
        </w:tc>
      </w:tr>
      <w:tr>
        <w:tblPrEx>
          <w:tblCellMar>
            <w:top w:w="0" w:type="dxa"/>
            <w:left w:w="108" w:type="dxa"/>
            <w:bottom w:w="0" w:type="dxa"/>
            <w:right w:w="108" w:type="dxa"/>
          </w:tblCellMar>
        </w:tblPrEx>
        <w:trPr>
          <w:trHeight w:val="960" w:hRule="atLeast"/>
        </w:trPr>
        <w:tc>
          <w:tcPr>
            <w:tcW w:w="6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绩效运行监控（25分）</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预算完成率</w:t>
            </w:r>
          </w:p>
        </w:tc>
        <w:tc>
          <w:tcPr>
            <w:tcW w:w="54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5</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部门支出预算完成程度</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年初预算完成率＝（年度支出预算完成数/年初支出预算数）×100%。年初预算完成率＝100%为达到要求。每低于要求2个百分点扣1分，扣完为止</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4</w:t>
            </w:r>
          </w:p>
        </w:tc>
      </w:tr>
      <w:tr>
        <w:tblPrEx>
          <w:tblCellMar>
            <w:top w:w="0" w:type="dxa"/>
            <w:left w:w="108" w:type="dxa"/>
            <w:bottom w:w="0" w:type="dxa"/>
            <w:right w:w="108" w:type="dxa"/>
          </w:tblCellMar>
        </w:tblPrEx>
        <w:trPr>
          <w:trHeight w:val="960"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项目预算调整变动率　</w:t>
            </w:r>
          </w:p>
        </w:tc>
        <w:tc>
          <w:tcPr>
            <w:tcW w:w="54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3</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部门项目预算的调整程度</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预算调整变动率＝（项目预算调整数/年初项目预算数）×100%。预算调整变动率＝0为达到要求。每高于要求10个百分点扣1分，扣完为止</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3</w:t>
            </w:r>
          </w:p>
        </w:tc>
      </w:tr>
      <w:tr>
        <w:tblPrEx>
          <w:tblCellMar>
            <w:top w:w="0" w:type="dxa"/>
            <w:left w:w="108" w:type="dxa"/>
            <w:bottom w:w="0" w:type="dxa"/>
            <w:right w:w="108" w:type="dxa"/>
          </w:tblCellMar>
        </w:tblPrEx>
        <w:trPr>
          <w:trHeight w:val="1920"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政府采购执行率　</w:t>
            </w:r>
          </w:p>
        </w:tc>
        <w:tc>
          <w:tcPr>
            <w:tcW w:w="54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3</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部门政府采购预算执行情况</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政府采购执行率=（实际政府采购金额/政府采购预算数）×100%。政府采购执行率＝100%为达到要求。每高于或低于5个百分点扣1分，扣完为止。（若单位没有政府采购预算且没有发生实际采购行为得3分；若预算单位没有政府采购预算但发生实际采购行为的得0分；若预算单位有政府采购预算但没发生实际采购行的为得0分）</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3</w:t>
            </w:r>
          </w:p>
        </w:tc>
      </w:tr>
      <w:tr>
        <w:tblPrEx>
          <w:tblCellMar>
            <w:top w:w="0" w:type="dxa"/>
            <w:left w:w="108" w:type="dxa"/>
            <w:bottom w:w="0" w:type="dxa"/>
            <w:right w:w="108" w:type="dxa"/>
          </w:tblCellMar>
        </w:tblPrEx>
        <w:trPr>
          <w:trHeight w:val="960"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xml:space="preserve">三公经费控制率 </w:t>
            </w:r>
          </w:p>
        </w:tc>
        <w:tc>
          <w:tcPr>
            <w:tcW w:w="54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5</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部门“三公经费”控制程度</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“三公经费”控制率＝（“三公经费”实际支出数/“三公经费”预算安排数）×100%。“三公经费”控制率≤100%为达到要求得5分。每高于要求2个百分点扣1分，扣完为止</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4</w:t>
            </w:r>
          </w:p>
        </w:tc>
      </w:tr>
      <w:tr>
        <w:tblPrEx>
          <w:tblCellMar>
            <w:top w:w="0" w:type="dxa"/>
            <w:left w:w="108" w:type="dxa"/>
            <w:bottom w:w="0" w:type="dxa"/>
            <w:right w:w="108" w:type="dxa"/>
          </w:tblCellMar>
        </w:tblPrEx>
        <w:trPr>
          <w:trHeight w:val="720"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资产管理</w:t>
            </w:r>
          </w:p>
        </w:tc>
        <w:tc>
          <w:tcPr>
            <w:tcW w:w="54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1</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部门资产管理信息系统建设情况</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考核部门和单位将国有资产纳入资产信息系统管理情况,已建好部门资产管理信息系统得1分，未建好的0分</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1</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82"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4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2</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部门资产清理核实开展情况</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考核部门和单位已按要求及时、真实、准确、全面开展资产清查、核实情况得2分，反之0分</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2</w:t>
            </w:r>
          </w:p>
        </w:tc>
      </w:tr>
      <w:tr>
        <w:tblPrEx>
          <w:tblCellMar>
            <w:top w:w="0" w:type="dxa"/>
            <w:left w:w="108" w:type="dxa"/>
            <w:bottom w:w="0" w:type="dxa"/>
            <w:right w:w="108" w:type="dxa"/>
          </w:tblCellMar>
        </w:tblPrEx>
        <w:trPr>
          <w:trHeight w:val="960"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82"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4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2</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部门资产登记、上报及管理情况</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考核部门和单位已经对国有资产登记、上报，并出台管理办法、制度等措施得2分，已登记、上报但未出台管理办法措施得1分，未登记、上报未出台管理办法措施0分</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2</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预决算信息公开</w:t>
            </w:r>
          </w:p>
        </w:tc>
        <w:tc>
          <w:tcPr>
            <w:tcW w:w="54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2</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按规定内容、时限公开预算信息</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按规定公开预算信息得2分，未按规定公开相应扣减分数</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2</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82"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4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2</w:t>
            </w:r>
          </w:p>
        </w:tc>
        <w:tc>
          <w:tcPr>
            <w:tcW w:w="2918" w:type="dxa"/>
            <w:tcBorders>
              <w:top w:val="nil"/>
              <w:left w:val="nil"/>
              <w:bottom w:val="single" w:color="auto" w:sz="4" w:space="0"/>
              <w:right w:val="single" w:color="auto" w:sz="4" w:space="0"/>
            </w:tcBorders>
            <w:shd w:val="clear" w:color="auto" w:fill="auto"/>
            <w:noWrap/>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按规定内容、时限公开决算信息</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按规定公开决算信息得2分，未按规定公开相应扣减分数</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2</w:t>
            </w:r>
          </w:p>
        </w:tc>
      </w:tr>
      <w:tr>
        <w:tblPrEx>
          <w:tblCellMar>
            <w:top w:w="0" w:type="dxa"/>
            <w:left w:w="108" w:type="dxa"/>
            <w:bottom w:w="0" w:type="dxa"/>
            <w:right w:w="108" w:type="dxa"/>
          </w:tblCellMar>
        </w:tblPrEx>
        <w:trPr>
          <w:trHeight w:val="720" w:hRule="atLeast"/>
        </w:trPr>
        <w:tc>
          <w:tcPr>
            <w:tcW w:w="6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绩效评价实施（15分）</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部门项目自评率　</w:t>
            </w:r>
          </w:p>
        </w:tc>
        <w:tc>
          <w:tcPr>
            <w:tcW w:w="54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5</w:t>
            </w:r>
          </w:p>
        </w:tc>
        <w:tc>
          <w:tcPr>
            <w:tcW w:w="2918" w:type="dxa"/>
            <w:tcBorders>
              <w:top w:val="nil"/>
              <w:left w:val="nil"/>
              <w:bottom w:val="single" w:color="auto" w:sz="4" w:space="0"/>
              <w:right w:val="single" w:color="auto" w:sz="4" w:space="0"/>
            </w:tcBorders>
            <w:shd w:val="clear" w:color="000000" w:fill="FFFFFF"/>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部门实施绩效评价项目覆盖情况</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项目自评率＝自评项目数/项目总数×100%。按项目自评率得分。</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4</w:t>
            </w:r>
          </w:p>
        </w:tc>
      </w:tr>
      <w:tr>
        <w:tblPrEx>
          <w:tblCellMar>
            <w:top w:w="0" w:type="dxa"/>
            <w:left w:w="108" w:type="dxa"/>
            <w:bottom w:w="0" w:type="dxa"/>
            <w:right w:w="108" w:type="dxa"/>
          </w:tblCellMar>
        </w:tblPrEx>
        <w:trPr>
          <w:trHeight w:val="960"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xml:space="preserve">资金评价覆盖率  </w:t>
            </w:r>
          </w:p>
        </w:tc>
        <w:tc>
          <w:tcPr>
            <w:tcW w:w="54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5</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部门绩效评价项目资金覆盖情况</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项目资金覆盖率=实施绩效评价项目资金额/部门项目预算资金总额×100%。绩效评价资金覆盖率100%得5分；每低于要求10个百分点扣1分，扣完为止</w:t>
            </w:r>
          </w:p>
        </w:tc>
        <w:tc>
          <w:tcPr>
            <w:tcW w:w="576" w:type="dxa"/>
            <w:tcBorders>
              <w:top w:val="nil"/>
              <w:left w:val="nil"/>
              <w:bottom w:val="single" w:color="auto" w:sz="4" w:space="0"/>
              <w:right w:val="single" w:color="auto" w:sz="4" w:space="0"/>
            </w:tcBorders>
            <w:shd w:val="clear" w:color="auto" w:fill="auto"/>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4</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xml:space="preserve">评价质量 </w:t>
            </w:r>
          </w:p>
        </w:tc>
        <w:tc>
          <w:tcPr>
            <w:tcW w:w="54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5</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部门绩效评价质量情况</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根据评价工作开展情况、评价报告质量、资料收集情况等综合评分</w:t>
            </w:r>
          </w:p>
        </w:tc>
        <w:tc>
          <w:tcPr>
            <w:tcW w:w="576" w:type="dxa"/>
            <w:tcBorders>
              <w:top w:val="nil"/>
              <w:left w:val="nil"/>
              <w:bottom w:val="single" w:color="auto" w:sz="4" w:space="0"/>
              <w:right w:val="single" w:color="auto" w:sz="4" w:space="0"/>
            </w:tcBorders>
            <w:shd w:val="clear" w:color="auto" w:fill="auto"/>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5</w:t>
            </w:r>
          </w:p>
        </w:tc>
      </w:tr>
      <w:tr>
        <w:tblPrEx>
          <w:tblCellMar>
            <w:top w:w="0" w:type="dxa"/>
            <w:left w:w="108" w:type="dxa"/>
            <w:bottom w:w="0" w:type="dxa"/>
            <w:right w:w="108" w:type="dxa"/>
          </w:tblCellMar>
        </w:tblPrEx>
        <w:trPr>
          <w:trHeight w:val="480" w:hRule="atLeast"/>
        </w:trPr>
        <w:tc>
          <w:tcPr>
            <w:tcW w:w="6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评价结果应用（15分）</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绩效公开</w:t>
            </w:r>
          </w:p>
        </w:tc>
        <w:tc>
          <w:tcPr>
            <w:tcW w:w="54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3</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绩效评价结果公开</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按要求将绩效评价结果在单位门户网站等公开的得3分，未按规定公开相应扣分</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3</w:t>
            </w:r>
          </w:p>
        </w:tc>
      </w:tr>
      <w:tr>
        <w:tblPrEx>
          <w:tblCellMar>
            <w:top w:w="0" w:type="dxa"/>
            <w:left w:w="108" w:type="dxa"/>
            <w:bottom w:w="0" w:type="dxa"/>
            <w:right w:w="108" w:type="dxa"/>
          </w:tblCellMar>
        </w:tblPrEx>
        <w:trPr>
          <w:trHeight w:val="720"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绩效管理问题整改</w:t>
            </w:r>
          </w:p>
        </w:tc>
        <w:tc>
          <w:tcPr>
            <w:tcW w:w="54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3</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按要求全面整改到位</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上年绩效评价发现的问题全面整改到位的得3分，没有全面整改到位的按比例得分</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3</w:t>
            </w:r>
          </w:p>
        </w:tc>
      </w:tr>
      <w:tr>
        <w:tblPrEx>
          <w:tblCellMar>
            <w:top w:w="0" w:type="dxa"/>
            <w:left w:w="108" w:type="dxa"/>
            <w:bottom w:w="0" w:type="dxa"/>
            <w:right w:w="108" w:type="dxa"/>
          </w:tblCellMar>
        </w:tblPrEx>
        <w:trPr>
          <w:trHeight w:val="960"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其他监督检查问题整改</w:t>
            </w:r>
          </w:p>
        </w:tc>
        <w:tc>
          <w:tcPr>
            <w:tcW w:w="54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3</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按要求全面整改到位</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各级巡视巡察、纪检监察、审计、财政监督检查等发现问题全面整改到位的得3分，没有全面整改到位的按比例得分</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3</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绩效问责</w:t>
            </w:r>
          </w:p>
        </w:tc>
        <w:tc>
          <w:tcPr>
            <w:tcW w:w="54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3</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按规定实施绩效问责</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按规定实施绩效问责得3分，未按规定实施绩效问责相应扣分</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2</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项目调整</w:t>
            </w:r>
          </w:p>
        </w:tc>
        <w:tc>
          <w:tcPr>
            <w:tcW w:w="54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3</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根据绩效评价结果调整下年项目及金额</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按规定调整的得3分，未按规定实施绩效问责相应扣分</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2</w:t>
            </w:r>
          </w:p>
        </w:tc>
      </w:tr>
      <w:tr>
        <w:tblPrEx>
          <w:tblCellMar>
            <w:top w:w="0" w:type="dxa"/>
            <w:left w:w="108" w:type="dxa"/>
            <w:bottom w:w="0" w:type="dxa"/>
            <w:right w:w="108" w:type="dxa"/>
          </w:tblCellMar>
        </w:tblPrEx>
        <w:trPr>
          <w:trHeight w:val="480" w:hRule="atLeast"/>
        </w:trPr>
        <w:tc>
          <w:tcPr>
            <w:tcW w:w="6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绩效管理创新(+10分)</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管理制度创新　　</w:t>
            </w:r>
          </w:p>
        </w:tc>
        <w:tc>
          <w:tcPr>
            <w:tcW w:w="54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3</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在绩效评价过程中管理制度有创新</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在开展绩效评价过程中制定有关制度或者发表相关研究文章的相应得分</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2</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工作推进创新　　</w:t>
            </w:r>
          </w:p>
        </w:tc>
        <w:tc>
          <w:tcPr>
            <w:tcW w:w="54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4</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在工作推进中有创新</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在推进自我评价、配合重点评价、完善个性指标体系方面的创新的相应得分</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2</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简体" w:hAnsi="Tahoma" w:eastAsia="方正仿宋简体" w:cs="Tahoma"/>
                <w:color w:val="000000"/>
                <w:kern w:val="0"/>
                <w:sz w:val="18"/>
                <w:szCs w:val="18"/>
              </w:rPr>
            </w:pP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结果应用创新　　</w:t>
            </w:r>
          </w:p>
        </w:tc>
        <w:tc>
          <w:tcPr>
            <w:tcW w:w="54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3</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在结果应用中有创新</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在评价结果公开、向政府报告等结果应用工作方面的创新的相应得分</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2</w:t>
            </w:r>
          </w:p>
        </w:tc>
      </w:tr>
      <w:tr>
        <w:tblPrEx>
          <w:tblCellMar>
            <w:top w:w="0" w:type="dxa"/>
            <w:left w:w="108" w:type="dxa"/>
            <w:bottom w:w="0" w:type="dxa"/>
            <w:right w:w="108" w:type="dxa"/>
          </w:tblCellMar>
        </w:tblPrEx>
        <w:trPr>
          <w:trHeight w:val="1200"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监督发现问题 (-10分)</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违规问题</w:t>
            </w:r>
          </w:p>
        </w:tc>
        <w:tc>
          <w:tcPr>
            <w:tcW w:w="542"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-10</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部门或个人存在违反《预算法》、《财政违法行为处罚处分条例》等相关法律法规并已受到处理处罚的情况</w:t>
            </w:r>
          </w:p>
        </w:tc>
        <w:tc>
          <w:tcPr>
            <w:tcW w:w="3278" w:type="dxa"/>
            <w:tcBorders>
              <w:top w:val="nil"/>
              <w:left w:val="nil"/>
              <w:bottom w:val="single" w:color="auto" w:sz="4" w:space="0"/>
              <w:right w:val="single" w:color="auto" w:sz="4" w:space="0"/>
            </w:tcBorders>
            <w:shd w:val="clear" w:color="auto" w:fill="auto"/>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各级巡视巡察、纪检监察、审计、财政监督检查等发现问题的，每发现一类问题扣1分（多个部门发现的同类问题不重复扣分），涉及金额或社会影响较大的扣2--10分</w:t>
            </w:r>
          </w:p>
        </w:tc>
        <w:tc>
          <w:tcPr>
            <w:tcW w:w="576" w:type="dxa"/>
            <w:tcBorders>
              <w:top w:val="nil"/>
              <w:left w:val="nil"/>
              <w:bottom w:val="single" w:color="auto" w:sz="4" w:space="0"/>
              <w:right w:val="single" w:color="auto" w:sz="4" w:space="0"/>
            </w:tcBorders>
            <w:shd w:val="clear" w:color="auto" w:fill="auto"/>
            <w:noWrap/>
            <w:vAlign w:val="center"/>
          </w:tcPr>
          <w:p>
            <w:pPr>
              <w:widowControl/>
              <w:jc w:val="left"/>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r>
      <w:tr>
        <w:tblPrEx>
          <w:tblCellMar>
            <w:top w:w="0" w:type="dxa"/>
            <w:left w:w="108" w:type="dxa"/>
            <w:bottom w:w="0" w:type="dxa"/>
            <w:right w:w="108" w:type="dxa"/>
          </w:tblCellMar>
        </w:tblPrEx>
        <w:trPr>
          <w:trHeight w:val="285" w:hRule="atLeast"/>
        </w:trPr>
        <w:tc>
          <w:tcPr>
            <w:tcW w:w="12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评价结论</w:t>
            </w:r>
          </w:p>
        </w:tc>
        <w:tc>
          <w:tcPr>
            <w:tcW w:w="542" w:type="dxa"/>
            <w:tcBorders>
              <w:top w:val="nil"/>
              <w:left w:val="nil"/>
              <w:bottom w:val="single" w:color="auto" w:sz="4" w:space="0"/>
              <w:right w:val="nil"/>
            </w:tcBorders>
            <w:shd w:val="clear" w:color="auto" w:fill="auto"/>
            <w:noWrap/>
            <w:vAlign w:val="center"/>
          </w:tcPr>
          <w:p>
            <w:pPr>
              <w:widowControl/>
              <w:jc w:val="center"/>
              <w:rPr>
                <w:rFonts w:ascii="方正仿宋简体" w:hAnsi="Tahoma" w:eastAsia="方正仿宋简体" w:cs="Tahoma"/>
                <w:color w:val="000000"/>
                <w:kern w:val="0"/>
                <w:sz w:val="18"/>
                <w:szCs w:val="18"/>
              </w:rPr>
            </w:pPr>
            <w:r>
              <w:rPr>
                <w:rFonts w:hint="eastAsia" w:ascii="方正仿宋简体" w:hAnsi="Tahoma" w:eastAsia="方正仿宋简体" w:cs="Tahoma"/>
                <w:color w:val="000000"/>
                <w:kern w:val="0"/>
                <w:sz w:val="18"/>
                <w:szCs w:val="18"/>
              </w:rPr>
              <w:t>　</w:t>
            </w:r>
          </w:p>
        </w:tc>
        <w:tc>
          <w:tcPr>
            <w:tcW w:w="7318" w:type="dxa"/>
            <w:gridSpan w:val="4"/>
            <w:tcBorders>
              <w:top w:val="single" w:color="auto" w:sz="4" w:space="0"/>
              <w:left w:val="single" w:color="auto" w:sz="4" w:space="0"/>
              <w:bottom w:val="single" w:color="auto" w:sz="4" w:space="0"/>
              <w:right w:val="nil"/>
            </w:tcBorders>
            <w:shd w:val="clear" w:color="auto" w:fill="auto"/>
            <w:vAlign w:val="center"/>
          </w:tcPr>
          <w:p>
            <w:pPr>
              <w:widowControl/>
              <w:jc w:val="left"/>
              <w:rPr>
                <w:rFonts w:ascii="方正仿宋简体" w:hAnsi="Tahoma" w:eastAsia="方正仿宋简体" w:cs="Tahoma"/>
                <w:color w:val="000000"/>
                <w:kern w:val="0"/>
                <w:sz w:val="16"/>
                <w:szCs w:val="16"/>
              </w:rPr>
            </w:pPr>
            <w:r>
              <w:rPr>
                <w:rFonts w:hint="eastAsia" w:ascii="方正仿宋简体" w:hAnsi="Tahoma" w:eastAsia="方正仿宋简体" w:cs="Tahoma"/>
                <w:color w:val="000000"/>
                <w:kern w:val="0"/>
                <w:sz w:val="16"/>
                <w:szCs w:val="16"/>
              </w:rPr>
              <w:t>总评分（95）　优秀（Ｘ≥90分)　良好（90＞Ｘ≥75分）合格（75分＞Ｘ≥60分）　不合格（Ｘ＜60分）</w:t>
            </w:r>
          </w:p>
        </w:tc>
      </w:tr>
    </w:tbl>
    <w:p>
      <w:pPr>
        <w:pStyle w:val="32"/>
        <w:adjustRightInd w:val="0"/>
        <w:snapToGrid w:val="0"/>
        <w:spacing w:line="560" w:lineRule="exact"/>
        <w:jc w:val="center"/>
        <w:outlineLvl w:val="0"/>
        <w:rPr>
          <w:rFonts w:hint="eastAsia" w:ascii="黑体" w:hAnsi="黑体" w:eastAsia="黑体" w:cs="Times New Roman"/>
          <w:bCs/>
          <w:color w:val="auto"/>
          <w:sz w:val="44"/>
          <w:szCs w:val="44"/>
        </w:rPr>
      </w:pPr>
      <w:bookmarkStart w:id="76" w:name="_Toc15396618"/>
      <w:bookmarkStart w:id="77" w:name="_Toc13536"/>
    </w:p>
    <w:p>
      <w:pPr>
        <w:pStyle w:val="32"/>
        <w:adjustRightInd w:val="0"/>
        <w:snapToGrid w:val="0"/>
        <w:spacing w:line="560" w:lineRule="exact"/>
        <w:jc w:val="center"/>
        <w:outlineLvl w:val="0"/>
        <w:rPr>
          <w:rFonts w:ascii="黑体" w:hAnsi="黑体" w:eastAsia="黑体" w:cs="Times New Roman"/>
          <w:bCs/>
          <w:color w:val="auto"/>
          <w:sz w:val="44"/>
          <w:szCs w:val="44"/>
        </w:rPr>
      </w:pPr>
      <w:r>
        <w:rPr>
          <w:rFonts w:hint="eastAsia" w:ascii="黑体" w:hAnsi="黑体" w:eastAsia="黑体" w:cs="Times New Roman"/>
          <w:bCs/>
          <w:color w:val="auto"/>
          <w:sz w:val="44"/>
          <w:szCs w:val="44"/>
        </w:rPr>
        <w:t>第五部分 附表</w:t>
      </w:r>
      <w:bookmarkEnd w:id="75"/>
      <w:bookmarkEnd w:id="76"/>
      <w:bookmarkEnd w:id="77"/>
    </w:p>
    <w:p>
      <w:pPr>
        <w:ind w:firstLine="600" w:firstLineChars="200"/>
        <w:rPr>
          <w:rFonts w:ascii="仿宋" w:hAnsi="仿宋" w:eastAsia="仿宋"/>
          <w:kern w:val="0"/>
          <w:sz w:val="30"/>
          <w:szCs w:val="30"/>
        </w:rPr>
      </w:pPr>
      <w:bookmarkStart w:id="78" w:name="_Toc15396619"/>
      <w:r>
        <w:rPr>
          <w:rFonts w:hint="eastAsia" w:ascii="仿宋" w:hAnsi="仿宋" w:eastAsia="仿宋"/>
          <w:kern w:val="0"/>
          <w:sz w:val="30"/>
          <w:szCs w:val="30"/>
        </w:rPr>
        <w:t>一、收入支出决算总表</w:t>
      </w:r>
      <w:bookmarkEnd w:id="78"/>
    </w:p>
    <w:p>
      <w:pPr>
        <w:ind w:firstLine="600" w:firstLineChars="200"/>
        <w:rPr>
          <w:rFonts w:ascii="仿宋" w:hAnsi="仿宋" w:eastAsia="仿宋"/>
          <w:kern w:val="0"/>
          <w:sz w:val="30"/>
          <w:szCs w:val="30"/>
        </w:rPr>
      </w:pPr>
      <w:bookmarkStart w:id="79" w:name="_Toc15396620"/>
      <w:r>
        <w:rPr>
          <w:rFonts w:hint="eastAsia" w:ascii="仿宋" w:hAnsi="仿宋" w:eastAsia="仿宋"/>
          <w:kern w:val="0"/>
          <w:sz w:val="30"/>
          <w:szCs w:val="30"/>
        </w:rPr>
        <w:t>二、收入决算表</w:t>
      </w:r>
      <w:bookmarkEnd w:id="79"/>
    </w:p>
    <w:p>
      <w:pPr>
        <w:ind w:firstLine="600" w:firstLineChars="200"/>
        <w:rPr>
          <w:rFonts w:ascii="仿宋" w:hAnsi="仿宋" w:eastAsia="仿宋"/>
          <w:kern w:val="0"/>
          <w:sz w:val="30"/>
          <w:szCs w:val="30"/>
        </w:rPr>
      </w:pPr>
      <w:bookmarkStart w:id="80" w:name="_Toc15396621"/>
      <w:r>
        <w:rPr>
          <w:rFonts w:hint="eastAsia" w:ascii="仿宋" w:hAnsi="仿宋" w:eastAsia="仿宋"/>
          <w:kern w:val="0"/>
          <w:sz w:val="30"/>
          <w:szCs w:val="30"/>
        </w:rPr>
        <w:t>三、支出决算表</w:t>
      </w:r>
      <w:bookmarkEnd w:id="80"/>
    </w:p>
    <w:p>
      <w:pPr>
        <w:ind w:firstLine="600" w:firstLineChars="200"/>
        <w:rPr>
          <w:rFonts w:ascii="仿宋" w:hAnsi="仿宋" w:eastAsia="仿宋"/>
          <w:kern w:val="0"/>
          <w:sz w:val="30"/>
          <w:szCs w:val="30"/>
        </w:rPr>
      </w:pPr>
      <w:bookmarkStart w:id="81" w:name="_Toc15396622"/>
      <w:r>
        <w:rPr>
          <w:rFonts w:hint="eastAsia" w:ascii="仿宋" w:hAnsi="仿宋" w:eastAsia="仿宋"/>
          <w:kern w:val="0"/>
          <w:sz w:val="30"/>
          <w:szCs w:val="30"/>
        </w:rPr>
        <w:t>四、财政拨款收入支出决算总表</w:t>
      </w:r>
      <w:bookmarkEnd w:id="81"/>
    </w:p>
    <w:p>
      <w:pPr>
        <w:ind w:firstLine="600" w:firstLineChars="200"/>
        <w:rPr>
          <w:rFonts w:ascii="仿宋" w:hAnsi="仿宋" w:eastAsia="仿宋"/>
          <w:kern w:val="0"/>
          <w:sz w:val="30"/>
          <w:szCs w:val="30"/>
        </w:rPr>
      </w:pPr>
      <w:bookmarkStart w:id="82" w:name="_Toc15396623"/>
      <w:r>
        <w:rPr>
          <w:rFonts w:hint="eastAsia" w:ascii="仿宋" w:hAnsi="仿宋" w:eastAsia="仿宋"/>
          <w:kern w:val="0"/>
          <w:sz w:val="30"/>
          <w:szCs w:val="30"/>
        </w:rPr>
        <w:t>五、财政拨款支出决算明细表</w:t>
      </w:r>
      <w:bookmarkEnd w:id="82"/>
      <w:bookmarkStart w:id="83" w:name="_Toc15396624"/>
    </w:p>
    <w:p>
      <w:pPr>
        <w:ind w:firstLine="600" w:firstLineChars="200"/>
        <w:rPr>
          <w:rFonts w:ascii="仿宋" w:hAnsi="仿宋" w:eastAsia="仿宋"/>
          <w:kern w:val="0"/>
          <w:sz w:val="30"/>
          <w:szCs w:val="30"/>
        </w:rPr>
      </w:pPr>
      <w:r>
        <w:rPr>
          <w:rFonts w:hint="eastAsia" w:ascii="仿宋" w:hAnsi="仿宋" w:eastAsia="仿宋"/>
          <w:kern w:val="0"/>
          <w:sz w:val="30"/>
          <w:szCs w:val="30"/>
        </w:rPr>
        <w:t>六、一般公共预算财政拨款支出决算表</w:t>
      </w:r>
      <w:bookmarkEnd w:id="83"/>
    </w:p>
    <w:p>
      <w:pPr>
        <w:ind w:firstLine="600" w:firstLineChars="200"/>
        <w:rPr>
          <w:rFonts w:ascii="仿宋" w:hAnsi="仿宋" w:eastAsia="仿宋"/>
          <w:kern w:val="0"/>
          <w:sz w:val="30"/>
          <w:szCs w:val="30"/>
        </w:rPr>
      </w:pPr>
      <w:bookmarkStart w:id="84" w:name="_Toc15396625"/>
      <w:r>
        <w:rPr>
          <w:rFonts w:hint="eastAsia" w:ascii="仿宋" w:hAnsi="仿宋" w:eastAsia="仿宋"/>
          <w:kern w:val="0"/>
          <w:sz w:val="30"/>
          <w:szCs w:val="30"/>
        </w:rPr>
        <w:t>七、一般公共预算财政拨款支出决算明细表</w:t>
      </w:r>
      <w:bookmarkEnd w:id="84"/>
    </w:p>
    <w:p>
      <w:pPr>
        <w:ind w:firstLine="600" w:firstLineChars="200"/>
        <w:rPr>
          <w:rFonts w:ascii="仿宋" w:hAnsi="仿宋" w:eastAsia="仿宋"/>
          <w:kern w:val="0"/>
          <w:sz w:val="30"/>
          <w:szCs w:val="30"/>
        </w:rPr>
      </w:pPr>
      <w:bookmarkStart w:id="85" w:name="_Toc15396626"/>
      <w:r>
        <w:rPr>
          <w:rFonts w:hint="eastAsia" w:ascii="仿宋" w:hAnsi="仿宋" w:eastAsia="仿宋"/>
          <w:kern w:val="0"/>
          <w:sz w:val="30"/>
          <w:szCs w:val="30"/>
        </w:rPr>
        <w:t>八、一般公共预算财政拨款基本支出决算表</w:t>
      </w:r>
      <w:bookmarkEnd w:id="85"/>
    </w:p>
    <w:p>
      <w:pPr>
        <w:ind w:firstLine="600" w:firstLineChars="200"/>
        <w:rPr>
          <w:rFonts w:ascii="仿宋" w:hAnsi="仿宋" w:eastAsia="仿宋"/>
          <w:kern w:val="0"/>
          <w:sz w:val="30"/>
          <w:szCs w:val="30"/>
        </w:rPr>
      </w:pPr>
      <w:bookmarkStart w:id="86" w:name="_Toc15396627"/>
      <w:r>
        <w:rPr>
          <w:rFonts w:hint="eastAsia" w:ascii="仿宋" w:hAnsi="仿宋" w:eastAsia="仿宋"/>
          <w:kern w:val="0"/>
          <w:sz w:val="30"/>
          <w:szCs w:val="30"/>
        </w:rPr>
        <w:t>九、一般公共预算财政拨款项目支出决算表</w:t>
      </w:r>
      <w:bookmarkEnd w:id="86"/>
    </w:p>
    <w:p>
      <w:pPr>
        <w:ind w:firstLine="600" w:firstLineChars="200"/>
        <w:rPr>
          <w:rFonts w:ascii="仿宋" w:hAnsi="仿宋" w:eastAsia="仿宋"/>
          <w:kern w:val="0"/>
          <w:sz w:val="30"/>
          <w:szCs w:val="30"/>
        </w:rPr>
      </w:pPr>
      <w:bookmarkStart w:id="87" w:name="_Toc15396628"/>
      <w:r>
        <w:rPr>
          <w:rFonts w:hint="eastAsia" w:ascii="仿宋" w:hAnsi="仿宋" w:eastAsia="仿宋"/>
          <w:kern w:val="0"/>
          <w:sz w:val="30"/>
          <w:szCs w:val="30"/>
        </w:rPr>
        <w:t>十、一般公共预算财政拨款“三公”经费支出决算表</w:t>
      </w:r>
      <w:bookmarkEnd w:id="87"/>
    </w:p>
    <w:p>
      <w:pPr>
        <w:ind w:firstLine="600" w:firstLineChars="200"/>
        <w:rPr>
          <w:rFonts w:ascii="仿宋" w:hAnsi="仿宋" w:eastAsia="仿宋"/>
          <w:kern w:val="0"/>
          <w:sz w:val="30"/>
          <w:szCs w:val="30"/>
        </w:rPr>
      </w:pPr>
      <w:bookmarkStart w:id="88" w:name="_Toc15396629"/>
      <w:r>
        <w:rPr>
          <w:rFonts w:hint="eastAsia" w:ascii="仿宋" w:hAnsi="仿宋" w:eastAsia="仿宋"/>
          <w:kern w:val="0"/>
          <w:sz w:val="30"/>
          <w:szCs w:val="30"/>
        </w:rPr>
        <w:t>十一、政府性基金预算财政拨款收入支出决算表</w:t>
      </w:r>
      <w:bookmarkEnd w:id="88"/>
    </w:p>
    <w:p>
      <w:pPr>
        <w:ind w:firstLine="600" w:firstLineChars="200"/>
        <w:rPr>
          <w:rFonts w:ascii="仿宋" w:hAnsi="仿宋" w:eastAsia="仿宋"/>
          <w:kern w:val="0"/>
          <w:sz w:val="30"/>
          <w:szCs w:val="30"/>
        </w:rPr>
      </w:pPr>
      <w:bookmarkStart w:id="89" w:name="_Toc15396630"/>
      <w:r>
        <w:rPr>
          <w:rFonts w:hint="eastAsia" w:ascii="仿宋" w:hAnsi="仿宋" w:eastAsia="仿宋"/>
          <w:kern w:val="0"/>
          <w:sz w:val="30"/>
          <w:szCs w:val="30"/>
        </w:rPr>
        <w:t>十二、政府性基金预算财政拨款“三公”经费支出决算表</w:t>
      </w:r>
      <w:bookmarkEnd w:id="89"/>
    </w:p>
    <w:p>
      <w:pPr>
        <w:ind w:firstLine="600" w:firstLineChars="200"/>
        <w:rPr>
          <w:rFonts w:ascii="仿宋" w:hAnsi="仿宋" w:eastAsia="仿宋"/>
          <w:kern w:val="0"/>
          <w:sz w:val="30"/>
          <w:szCs w:val="30"/>
        </w:rPr>
      </w:pPr>
      <w:bookmarkStart w:id="90" w:name="_Toc15396631"/>
      <w:r>
        <w:rPr>
          <w:rFonts w:hint="eastAsia" w:ascii="仿宋" w:hAnsi="仿宋" w:eastAsia="仿宋"/>
          <w:kern w:val="0"/>
          <w:sz w:val="30"/>
          <w:szCs w:val="30"/>
        </w:rPr>
        <w:t>十三、国有资本经营预算支出决算</w:t>
      </w:r>
      <w:bookmarkEnd w:id="90"/>
      <w:r>
        <w:rPr>
          <w:rFonts w:hint="eastAsia" w:ascii="仿宋" w:hAnsi="仿宋" w:eastAsia="仿宋"/>
          <w:kern w:val="0"/>
          <w:sz w:val="30"/>
          <w:szCs w:val="30"/>
        </w:rPr>
        <w:t>表</w:t>
      </w:r>
    </w:p>
    <w:sectPr>
      <w:footerReference r:id="rId9"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方正小标宋简体">
    <w:altName w:val="仿宋_GB2312"/>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path/>
          <v:fill on="f" focussize="0,0"/>
          <v:stroke on="f" weight="0.5pt" joinstyle="miter"/>
          <v:imagedata o:title=""/>
          <o:lock v:ext="edit"/>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w:r>
    <w:sdt>
      <w:sdtPr>
        <w:id w:val="-1994781956"/>
      </w:sdtPr>
      <w:sdtContent/>
    </w:sdt>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164A4"/>
    <w:rsid w:val="000222C6"/>
    <w:rsid w:val="0002549F"/>
    <w:rsid w:val="000468DB"/>
    <w:rsid w:val="00052169"/>
    <w:rsid w:val="0006390A"/>
    <w:rsid w:val="0006487A"/>
    <w:rsid w:val="00065F8F"/>
    <w:rsid w:val="00070A43"/>
    <w:rsid w:val="0007605E"/>
    <w:rsid w:val="000768F2"/>
    <w:rsid w:val="0009184B"/>
    <w:rsid w:val="00092E99"/>
    <w:rsid w:val="00094236"/>
    <w:rsid w:val="0009593C"/>
    <w:rsid w:val="00097322"/>
    <w:rsid w:val="000A6A92"/>
    <w:rsid w:val="000B047F"/>
    <w:rsid w:val="000B5923"/>
    <w:rsid w:val="000B5A48"/>
    <w:rsid w:val="000B6FF3"/>
    <w:rsid w:val="000C3467"/>
    <w:rsid w:val="000C3CA6"/>
    <w:rsid w:val="000D1267"/>
    <w:rsid w:val="000D1D50"/>
    <w:rsid w:val="000D2ACE"/>
    <w:rsid w:val="000D5782"/>
    <w:rsid w:val="000E6613"/>
    <w:rsid w:val="000E7119"/>
    <w:rsid w:val="000F5DAE"/>
    <w:rsid w:val="00114E9B"/>
    <w:rsid w:val="00115796"/>
    <w:rsid w:val="00142216"/>
    <w:rsid w:val="00144D6A"/>
    <w:rsid w:val="0014729F"/>
    <w:rsid w:val="00157BAB"/>
    <w:rsid w:val="001654D1"/>
    <w:rsid w:val="00174518"/>
    <w:rsid w:val="0018106D"/>
    <w:rsid w:val="001877A7"/>
    <w:rsid w:val="00191536"/>
    <w:rsid w:val="001943E1"/>
    <w:rsid w:val="00196687"/>
    <w:rsid w:val="00197D77"/>
    <w:rsid w:val="001A4217"/>
    <w:rsid w:val="001C0962"/>
    <w:rsid w:val="001D7531"/>
    <w:rsid w:val="001E737D"/>
    <w:rsid w:val="001E7C53"/>
    <w:rsid w:val="001F0592"/>
    <w:rsid w:val="001F1A8C"/>
    <w:rsid w:val="001F7506"/>
    <w:rsid w:val="002006CD"/>
    <w:rsid w:val="00202B36"/>
    <w:rsid w:val="00204787"/>
    <w:rsid w:val="00204B7A"/>
    <w:rsid w:val="00204CDE"/>
    <w:rsid w:val="0021101A"/>
    <w:rsid w:val="00220536"/>
    <w:rsid w:val="00220F29"/>
    <w:rsid w:val="00235629"/>
    <w:rsid w:val="00246A0B"/>
    <w:rsid w:val="00260C38"/>
    <w:rsid w:val="002616C0"/>
    <w:rsid w:val="00265372"/>
    <w:rsid w:val="002662AA"/>
    <w:rsid w:val="00280496"/>
    <w:rsid w:val="00282A0A"/>
    <w:rsid w:val="002927CB"/>
    <w:rsid w:val="00294DC9"/>
    <w:rsid w:val="00295495"/>
    <w:rsid w:val="002A31DE"/>
    <w:rsid w:val="002B0222"/>
    <w:rsid w:val="002B2613"/>
    <w:rsid w:val="002C57CB"/>
    <w:rsid w:val="002D19B0"/>
    <w:rsid w:val="002D6D05"/>
    <w:rsid w:val="002F1818"/>
    <w:rsid w:val="002F567B"/>
    <w:rsid w:val="003216A9"/>
    <w:rsid w:val="00322CF4"/>
    <w:rsid w:val="0032386B"/>
    <w:rsid w:val="00335A74"/>
    <w:rsid w:val="00344437"/>
    <w:rsid w:val="0036561B"/>
    <w:rsid w:val="0037013F"/>
    <w:rsid w:val="00380C92"/>
    <w:rsid w:val="00385CEB"/>
    <w:rsid w:val="003A484F"/>
    <w:rsid w:val="003A4883"/>
    <w:rsid w:val="003B0BE0"/>
    <w:rsid w:val="003B0C1B"/>
    <w:rsid w:val="003B688C"/>
    <w:rsid w:val="003C0291"/>
    <w:rsid w:val="003C39AE"/>
    <w:rsid w:val="003C7B60"/>
    <w:rsid w:val="003D0C0F"/>
    <w:rsid w:val="003D1FB2"/>
    <w:rsid w:val="003D66DA"/>
    <w:rsid w:val="003E1310"/>
    <w:rsid w:val="003E6F55"/>
    <w:rsid w:val="003E74F2"/>
    <w:rsid w:val="00406254"/>
    <w:rsid w:val="00416CD4"/>
    <w:rsid w:val="004223DE"/>
    <w:rsid w:val="00434489"/>
    <w:rsid w:val="00437085"/>
    <w:rsid w:val="00443880"/>
    <w:rsid w:val="004464F4"/>
    <w:rsid w:val="00471401"/>
    <w:rsid w:val="00473F31"/>
    <w:rsid w:val="0048263A"/>
    <w:rsid w:val="00482661"/>
    <w:rsid w:val="00487E5D"/>
    <w:rsid w:val="004A711F"/>
    <w:rsid w:val="004B199D"/>
    <w:rsid w:val="004B4690"/>
    <w:rsid w:val="004D77E5"/>
    <w:rsid w:val="004E0A2D"/>
    <w:rsid w:val="004E206B"/>
    <w:rsid w:val="004E6DF7"/>
    <w:rsid w:val="004F0FBD"/>
    <w:rsid w:val="004F403E"/>
    <w:rsid w:val="00505A47"/>
    <w:rsid w:val="00512FDA"/>
    <w:rsid w:val="00520DA0"/>
    <w:rsid w:val="00522F84"/>
    <w:rsid w:val="00522FC0"/>
    <w:rsid w:val="00533BE6"/>
    <w:rsid w:val="005523A6"/>
    <w:rsid w:val="005664BB"/>
    <w:rsid w:val="00566FFA"/>
    <w:rsid w:val="0057481D"/>
    <w:rsid w:val="00575F0B"/>
    <w:rsid w:val="005820CC"/>
    <w:rsid w:val="0058486E"/>
    <w:rsid w:val="00585B33"/>
    <w:rsid w:val="0059014D"/>
    <w:rsid w:val="005B5C64"/>
    <w:rsid w:val="005C6BD0"/>
    <w:rsid w:val="005C6C4C"/>
    <w:rsid w:val="005C6C8A"/>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36438"/>
    <w:rsid w:val="006440E4"/>
    <w:rsid w:val="00652A35"/>
    <w:rsid w:val="0066343B"/>
    <w:rsid w:val="00664777"/>
    <w:rsid w:val="006748A4"/>
    <w:rsid w:val="00676820"/>
    <w:rsid w:val="00681A31"/>
    <w:rsid w:val="00682BCC"/>
    <w:rsid w:val="006837DD"/>
    <w:rsid w:val="00683BF2"/>
    <w:rsid w:val="00683E73"/>
    <w:rsid w:val="0069071E"/>
    <w:rsid w:val="006A3141"/>
    <w:rsid w:val="006A5E34"/>
    <w:rsid w:val="006B2422"/>
    <w:rsid w:val="006B2B9A"/>
    <w:rsid w:val="006B2FAE"/>
    <w:rsid w:val="006C1330"/>
    <w:rsid w:val="006C1937"/>
    <w:rsid w:val="006E7977"/>
    <w:rsid w:val="006F020C"/>
    <w:rsid w:val="006F12B0"/>
    <w:rsid w:val="007127B7"/>
    <w:rsid w:val="0071798E"/>
    <w:rsid w:val="00727533"/>
    <w:rsid w:val="007416B6"/>
    <w:rsid w:val="00746F48"/>
    <w:rsid w:val="0075404D"/>
    <w:rsid w:val="0076182A"/>
    <w:rsid w:val="00763BD2"/>
    <w:rsid w:val="00767B7E"/>
    <w:rsid w:val="007770C3"/>
    <w:rsid w:val="00784D24"/>
    <w:rsid w:val="00785FBA"/>
    <w:rsid w:val="00786E4A"/>
    <w:rsid w:val="007875EB"/>
    <w:rsid w:val="0079426B"/>
    <w:rsid w:val="007D1682"/>
    <w:rsid w:val="007D17BF"/>
    <w:rsid w:val="007D2CB0"/>
    <w:rsid w:val="007D312A"/>
    <w:rsid w:val="007D3F19"/>
    <w:rsid w:val="007E23B0"/>
    <w:rsid w:val="007F1991"/>
    <w:rsid w:val="007F231B"/>
    <w:rsid w:val="007F2C2F"/>
    <w:rsid w:val="007F55FC"/>
    <w:rsid w:val="007F5665"/>
    <w:rsid w:val="007F7126"/>
    <w:rsid w:val="00800112"/>
    <w:rsid w:val="0080256A"/>
    <w:rsid w:val="00806BE1"/>
    <w:rsid w:val="00813348"/>
    <w:rsid w:val="00815B84"/>
    <w:rsid w:val="00817C61"/>
    <w:rsid w:val="008253BB"/>
    <w:rsid w:val="00833962"/>
    <w:rsid w:val="0083706E"/>
    <w:rsid w:val="008408F6"/>
    <w:rsid w:val="008423A5"/>
    <w:rsid w:val="00850625"/>
    <w:rsid w:val="00853718"/>
    <w:rsid w:val="00855221"/>
    <w:rsid w:val="00860645"/>
    <w:rsid w:val="00863379"/>
    <w:rsid w:val="00871F71"/>
    <w:rsid w:val="00872FD8"/>
    <w:rsid w:val="008765AF"/>
    <w:rsid w:val="00885AF4"/>
    <w:rsid w:val="008939CD"/>
    <w:rsid w:val="00894833"/>
    <w:rsid w:val="008B3085"/>
    <w:rsid w:val="008B768C"/>
    <w:rsid w:val="008C1D3E"/>
    <w:rsid w:val="008C4DB1"/>
    <w:rsid w:val="008C4EAF"/>
    <w:rsid w:val="008C5176"/>
    <w:rsid w:val="008C78E6"/>
    <w:rsid w:val="008C7FD0"/>
    <w:rsid w:val="008D7DB0"/>
    <w:rsid w:val="008E15F0"/>
    <w:rsid w:val="008E1DE7"/>
    <w:rsid w:val="008E707C"/>
    <w:rsid w:val="00900B08"/>
    <w:rsid w:val="00902155"/>
    <w:rsid w:val="00902FA3"/>
    <w:rsid w:val="00923564"/>
    <w:rsid w:val="0092392E"/>
    <w:rsid w:val="009315F9"/>
    <w:rsid w:val="00933499"/>
    <w:rsid w:val="00935C98"/>
    <w:rsid w:val="00937470"/>
    <w:rsid w:val="00946945"/>
    <w:rsid w:val="00951248"/>
    <w:rsid w:val="0095152F"/>
    <w:rsid w:val="00954C49"/>
    <w:rsid w:val="00955E37"/>
    <w:rsid w:val="0097099F"/>
    <w:rsid w:val="00971997"/>
    <w:rsid w:val="00971FFC"/>
    <w:rsid w:val="00973944"/>
    <w:rsid w:val="0098660A"/>
    <w:rsid w:val="009931C3"/>
    <w:rsid w:val="009B2C43"/>
    <w:rsid w:val="009B4EAE"/>
    <w:rsid w:val="009B7573"/>
    <w:rsid w:val="009C22F4"/>
    <w:rsid w:val="009C2E98"/>
    <w:rsid w:val="009C37FB"/>
    <w:rsid w:val="009D3447"/>
    <w:rsid w:val="009D4711"/>
    <w:rsid w:val="009D6345"/>
    <w:rsid w:val="009D68D0"/>
    <w:rsid w:val="009F04B2"/>
    <w:rsid w:val="009F1185"/>
    <w:rsid w:val="009F18CD"/>
    <w:rsid w:val="009F2A13"/>
    <w:rsid w:val="009F7527"/>
    <w:rsid w:val="00A039ED"/>
    <w:rsid w:val="00A04EB0"/>
    <w:rsid w:val="00A13CC1"/>
    <w:rsid w:val="00A16847"/>
    <w:rsid w:val="00A1759B"/>
    <w:rsid w:val="00A20D32"/>
    <w:rsid w:val="00A230D9"/>
    <w:rsid w:val="00A237D8"/>
    <w:rsid w:val="00A268C4"/>
    <w:rsid w:val="00A307CD"/>
    <w:rsid w:val="00A331C8"/>
    <w:rsid w:val="00A35117"/>
    <w:rsid w:val="00A40A00"/>
    <w:rsid w:val="00A4142F"/>
    <w:rsid w:val="00A422EB"/>
    <w:rsid w:val="00A4493D"/>
    <w:rsid w:val="00A45BB7"/>
    <w:rsid w:val="00A56DF2"/>
    <w:rsid w:val="00A56E6E"/>
    <w:rsid w:val="00A67AB5"/>
    <w:rsid w:val="00A733B2"/>
    <w:rsid w:val="00A741C2"/>
    <w:rsid w:val="00A91760"/>
    <w:rsid w:val="00A93B00"/>
    <w:rsid w:val="00A93C21"/>
    <w:rsid w:val="00AA5696"/>
    <w:rsid w:val="00AB3773"/>
    <w:rsid w:val="00AB64C9"/>
    <w:rsid w:val="00AC222C"/>
    <w:rsid w:val="00AC3C6A"/>
    <w:rsid w:val="00AD0F83"/>
    <w:rsid w:val="00AD5620"/>
    <w:rsid w:val="00AD656B"/>
    <w:rsid w:val="00AD7C1B"/>
    <w:rsid w:val="00AE16BA"/>
    <w:rsid w:val="00AE1EBE"/>
    <w:rsid w:val="00AE3196"/>
    <w:rsid w:val="00AF417F"/>
    <w:rsid w:val="00B03C9D"/>
    <w:rsid w:val="00B060AE"/>
    <w:rsid w:val="00B10517"/>
    <w:rsid w:val="00B14E76"/>
    <w:rsid w:val="00B161B8"/>
    <w:rsid w:val="00B166C6"/>
    <w:rsid w:val="00B2048C"/>
    <w:rsid w:val="00B25FBA"/>
    <w:rsid w:val="00B310B9"/>
    <w:rsid w:val="00B31EB4"/>
    <w:rsid w:val="00B35F3F"/>
    <w:rsid w:val="00B36CBB"/>
    <w:rsid w:val="00B42283"/>
    <w:rsid w:val="00B425E0"/>
    <w:rsid w:val="00B440AA"/>
    <w:rsid w:val="00B44B70"/>
    <w:rsid w:val="00B53C56"/>
    <w:rsid w:val="00B57DAF"/>
    <w:rsid w:val="00B7501D"/>
    <w:rsid w:val="00B77EA6"/>
    <w:rsid w:val="00B81598"/>
    <w:rsid w:val="00B841F1"/>
    <w:rsid w:val="00B944D6"/>
    <w:rsid w:val="00B96397"/>
    <w:rsid w:val="00BA5031"/>
    <w:rsid w:val="00BB4DF0"/>
    <w:rsid w:val="00BC289F"/>
    <w:rsid w:val="00BC2D50"/>
    <w:rsid w:val="00BC5361"/>
    <w:rsid w:val="00BC5460"/>
    <w:rsid w:val="00BC6B50"/>
    <w:rsid w:val="00BD0E25"/>
    <w:rsid w:val="00BE087B"/>
    <w:rsid w:val="00BF5BD6"/>
    <w:rsid w:val="00C00717"/>
    <w:rsid w:val="00C03E31"/>
    <w:rsid w:val="00C30E69"/>
    <w:rsid w:val="00C33E72"/>
    <w:rsid w:val="00C354B2"/>
    <w:rsid w:val="00C35554"/>
    <w:rsid w:val="00C41454"/>
    <w:rsid w:val="00C42709"/>
    <w:rsid w:val="00C533CC"/>
    <w:rsid w:val="00C5751C"/>
    <w:rsid w:val="00C61BFC"/>
    <w:rsid w:val="00C62B85"/>
    <w:rsid w:val="00C65438"/>
    <w:rsid w:val="00C67663"/>
    <w:rsid w:val="00C76702"/>
    <w:rsid w:val="00C90715"/>
    <w:rsid w:val="00C91CBB"/>
    <w:rsid w:val="00C963A0"/>
    <w:rsid w:val="00C97901"/>
    <w:rsid w:val="00CB4E70"/>
    <w:rsid w:val="00CB70FC"/>
    <w:rsid w:val="00CC09B6"/>
    <w:rsid w:val="00CC666F"/>
    <w:rsid w:val="00CD1E3F"/>
    <w:rsid w:val="00CE44F6"/>
    <w:rsid w:val="00CE49DA"/>
    <w:rsid w:val="00CE7B61"/>
    <w:rsid w:val="00D00095"/>
    <w:rsid w:val="00D114F0"/>
    <w:rsid w:val="00D144F5"/>
    <w:rsid w:val="00D20620"/>
    <w:rsid w:val="00D254F7"/>
    <w:rsid w:val="00D26091"/>
    <w:rsid w:val="00D2685C"/>
    <w:rsid w:val="00D31164"/>
    <w:rsid w:val="00D34E7C"/>
    <w:rsid w:val="00D35489"/>
    <w:rsid w:val="00D36AFE"/>
    <w:rsid w:val="00D377D1"/>
    <w:rsid w:val="00D51276"/>
    <w:rsid w:val="00D56D96"/>
    <w:rsid w:val="00D7035F"/>
    <w:rsid w:val="00D91BE7"/>
    <w:rsid w:val="00DA634F"/>
    <w:rsid w:val="00DA65AC"/>
    <w:rsid w:val="00DB1913"/>
    <w:rsid w:val="00DC0266"/>
    <w:rsid w:val="00DC1675"/>
    <w:rsid w:val="00DC410D"/>
    <w:rsid w:val="00DC5A81"/>
    <w:rsid w:val="00DC68CA"/>
    <w:rsid w:val="00DC7CBA"/>
    <w:rsid w:val="00DD303A"/>
    <w:rsid w:val="00DD73B7"/>
    <w:rsid w:val="00DF28BC"/>
    <w:rsid w:val="00DF34B9"/>
    <w:rsid w:val="00E01053"/>
    <w:rsid w:val="00E03E33"/>
    <w:rsid w:val="00E07ACF"/>
    <w:rsid w:val="00E20E13"/>
    <w:rsid w:val="00E24E6B"/>
    <w:rsid w:val="00E331A1"/>
    <w:rsid w:val="00E33202"/>
    <w:rsid w:val="00E336A9"/>
    <w:rsid w:val="00E40B7F"/>
    <w:rsid w:val="00E472B1"/>
    <w:rsid w:val="00E50624"/>
    <w:rsid w:val="00E568DF"/>
    <w:rsid w:val="00E64269"/>
    <w:rsid w:val="00E64EA4"/>
    <w:rsid w:val="00E66797"/>
    <w:rsid w:val="00E82267"/>
    <w:rsid w:val="00E853CE"/>
    <w:rsid w:val="00E867B6"/>
    <w:rsid w:val="00E87F08"/>
    <w:rsid w:val="00EA010F"/>
    <w:rsid w:val="00EA0DD1"/>
    <w:rsid w:val="00ED1B63"/>
    <w:rsid w:val="00ED3C1F"/>
    <w:rsid w:val="00ED4085"/>
    <w:rsid w:val="00ED420E"/>
    <w:rsid w:val="00ED6FBE"/>
    <w:rsid w:val="00EE1512"/>
    <w:rsid w:val="00EE2F57"/>
    <w:rsid w:val="00EF4C34"/>
    <w:rsid w:val="00EF77C6"/>
    <w:rsid w:val="00F01855"/>
    <w:rsid w:val="00F05438"/>
    <w:rsid w:val="00F11DED"/>
    <w:rsid w:val="00F12B06"/>
    <w:rsid w:val="00F1361C"/>
    <w:rsid w:val="00F156F0"/>
    <w:rsid w:val="00F160C7"/>
    <w:rsid w:val="00F2408F"/>
    <w:rsid w:val="00F240E9"/>
    <w:rsid w:val="00F27236"/>
    <w:rsid w:val="00F361FA"/>
    <w:rsid w:val="00F36D8F"/>
    <w:rsid w:val="00F417B1"/>
    <w:rsid w:val="00F45853"/>
    <w:rsid w:val="00F602DF"/>
    <w:rsid w:val="00F754A1"/>
    <w:rsid w:val="00F81FD9"/>
    <w:rsid w:val="00F841AA"/>
    <w:rsid w:val="00F84A94"/>
    <w:rsid w:val="00F87E96"/>
    <w:rsid w:val="00F959A3"/>
    <w:rsid w:val="00FA23E8"/>
    <w:rsid w:val="00FB2B21"/>
    <w:rsid w:val="00FC5420"/>
    <w:rsid w:val="00FD3CC1"/>
    <w:rsid w:val="00FD65BE"/>
    <w:rsid w:val="00FF1E02"/>
    <w:rsid w:val="00FF30B4"/>
    <w:rsid w:val="00FF7900"/>
    <w:rsid w:val="018160E0"/>
    <w:rsid w:val="056636A2"/>
    <w:rsid w:val="0C7E7AED"/>
    <w:rsid w:val="0CDF1D95"/>
    <w:rsid w:val="0ED47CAD"/>
    <w:rsid w:val="0F4459D4"/>
    <w:rsid w:val="10855679"/>
    <w:rsid w:val="10C055FF"/>
    <w:rsid w:val="116F11F7"/>
    <w:rsid w:val="11D2191D"/>
    <w:rsid w:val="15175D7C"/>
    <w:rsid w:val="16BB723D"/>
    <w:rsid w:val="17871934"/>
    <w:rsid w:val="1D116022"/>
    <w:rsid w:val="1D8D53F0"/>
    <w:rsid w:val="1FDF0FB1"/>
    <w:rsid w:val="237E114C"/>
    <w:rsid w:val="23B37B41"/>
    <w:rsid w:val="240371BF"/>
    <w:rsid w:val="24181C43"/>
    <w:rsid w:val="266D5700"/>
    <w:rsid w:val="29496FB0"/>
    <w:rsid w:val="29556D4D"/>
    <w:rsid w:val="29FD04D3"/>
    <w:rsid w:val="2C6C627E"/>
    <w:rsid w:val="2F1C358A"/>
    <w:rsid w:val="319F7F4E"/>
    <w:rsid w:val="31AE462A"/>
    <w:rsid w:val="36487EC9"/>
    <w:rsid w:val="39145A64"/>
    <w:rsid w:val="3F0C174B"/>
    <w:rsid w:val="3F5F0AE3"/>
    <w:rsid w:val="42935BAB"/>
    <w:rsid w:val="472A4508"/>
    <w:rsid w:val="48CD5FCB"/>
    <w:rsid w:val="4928443D"/>
    <w:rsid w:val="4C9E0DAC"/>
    <w:rsid w:val="4ECE2238"/>
    <w:rsid w:val="522B11E1"/>
    <w:rsid w:val="52747AB9"/>
    <w:rsid w:val="52E55C1B"/>
    <w:rsid w:val="53AA55E8"/>
    <w:rsid w:val="582C7F99"/>
    <w:rsid w:val="5CF573AD"/>
    <w:rsid w:val="5D3A10F8"/>
    <w:rsid w:val="5E52706B"/>
    <w:rsid w:val="5EFB3F8E"/>
    <w:rsid w:val="5F866649"/>
    <w:rsid w:val="6A9A68F1"/>
    <w:rsid w:val="6B481EED"/>
    <w:rsid w:val="6BD96112"/>
    <w:rsid w:val="72734D90"/>
    <w:rsid w:val="730059BA"/>
    <w:rsid w:val="73772018"/>
    <w:rsid w:val="780E01C7"/>
    <w:rsid w:val="79355D65"/>
    <w:rsid w:val="7AE2402C"/>
    <w:rsid w:val="7D76258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1">
    <w:name w:val="四号正文 Char"/>
    <w:basedOn w:val="14"/>
    <w:link w:val="32"/>
    <w:qFormat/>
    <w:locked/>
    <w:uiPriority w:val="99"/>
    <w:rPr>
      <w:rFonts w:ascii="??" w:hAnsi="??" w:cs="宋体"/>
      <w:color w:val="000000"/>
      <w:szCs w:val="21"/>
    </w:rPr>
  </w:style>
  <w:style w:type="paragraph" w:customStyle="1" w:styleId="32">
    <w:name w:val="四号正文"/>
    <w:basedOn w:val="1"/>
    <w:link w:val="31"/>
    <w:qFormat/>
    <w:uiPriority w:val="0"/>
    <w:pPr>
      <w:spacing w:line="360" w:lineRule="auto"/>
    </w:pPr>
    <w:rPr>
      <w:rFonts w:ascii="??" w:hAnsi="??" w:cs="宋体"/>
      <w:color w:val="000000"/>
      <w:kern w:val="0"/>
      <w:sz w:val="20"/>
      <w:szCs w:val="21"/>
    </w:rPr>
  </w:style>
  <w:style w:type="paragraph" w:customStyle="1" w:styleId="33">
    <w:name w:val="WPSOffice手动目录 1"/>
    <w:qFormat/>
    <w:uiPriority w:val="0"/>
    <w:rPr>
      <w:rFonts w:ascii="Times New Roman" w:hAnsi="Times New Roman" w:eastAsia="宋体" w:cs="Times New Roman"/>
      <w:lang w:val="en-US" w:eastAsia="zh-CN" w:bidi="ar-SA"/>
    </w:rPr>
  </w:style>
  <w:style w:type="paragraph" w:customStyle="1" w:styleId="34">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chart" Target="charts/chart7.xml"/><Relationship Id="rId16" Type="http://schemas.openxmlformats.org/officeDocument/2006/relationships/chart" Target="charts/chart6.xml"/><Relationship Id="rId15" Type="http://schemas.openxmlformats.org/officeDocument/2006/relationships/chart" Target="charts/chart5.xml"/><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20&#20915;&#31639;&#20844;&#24320;\2019-2017&#20915;&#31639;&#20844;&#24320;&#25968;&#25454;&#32467;&#26500;&#2227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20&#20915;&#31639;&#20844;&#24320;\2019-2017&#20915;&#31639;&#20844;&#24320;&#25968;&#25454;&#32467;&#26500;&#2227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20&#20915;&#31639;&#20844;&#24320;\2019-2017&#20915;&#31639;&#20844;&#24320;&#25968;&#25454;&#32467;&#26500;&#2227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20&#20915;&#31639;&#20844;&#24320;\2019-2017&#20915;&#31639;&#20844;&#24320;&#25968;&#25454;&#32467;&#26500;&#2227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20&#20915;&#31639;&#20844;&#24320;\2019-2017&#20915;&#31639;&#20844;&#24320;&#25968;&#25454;&#32467;&#26500;&#2227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20&#20915;&#31639;&#20844;&#24320;\2019-2017&#20915;&#31639;&#20844;&#24320;&#25968;&#25454;&#32467;&#26500;&#2227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20&#20915;&#31639;&#20844;&#24320;\2019-2017&#20915;&#31639;&#20844;&#24320;&#25968;&#25454;&#32467;&#26500;&#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收支决算总计变动情况      </a:t>
            </a:r>
            <a:r>
              <a:rPr lang="zh-CN" altLang="en-US" sz="700"/>
              <a:t>单位</a:t>
            </a:r>
            <a:r>
              <a:rPr lang="en-US" altLang="zh-CN" sz="700"/>
              <a:t>:</a:t>
            </a:r>
            <a:r>
              <a:rPr lang="zh-CN" altLang="en-US" sz="700"/>
              <a:t>万元</a:t>
            </a:r>
            <a:endParaRPr lang="zh-CN" altLang="en-US"/>
          </a:p>
        </c:rich>
      </c:tx>
      <c:layout>
        <c:manualLayout>
          <c:xMode val="edge"/>
          <c:yMode val="edge"/>
          <c:x val="0.193666666666667"/>
          <c:y val="0.0324074074074076"/>
        </c:manualLayout>
      </c:layout>
      <c:overlay val="0"/>
    </c:title>
    <c:autoTitleDeleted val="0"/>
    <c:plotArea>
      <c:layout/>
      <c:barChart>
        <c:barDir val="col"/>
        <c:grouping val="clustered"/>
        <c:varyColors val="0"/>
        <c:ser>
          <c:idx val="0"/>
          <c:order val="0"/>
          <c:invertIfNegative val="0"/>
          <c:dPt>
            <c:idx val="1"/>
            <c:invertIfNegative val="0"/>
            <c:bubble3D val="0"/>
            <c:spPr>
              <a:solidFill>
                <a:srgbClr val="C00000"/>
              </a:solidFill>
            </c:spPr>
          </c:dPt>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'2020'!$A$10:$A$11</c:f>
              <c:strCache>
                <c:ptCount val="2"/>
                <c:pt idx="0">
                  <c:v>2019年</c:v>
                </c:pt>
                <c:pt idx="1">
                  <c:v>2020年</c:v>
                </c:pt>
              </c:strCache>
            </c:strRef>
          </c:cat>
          <c:val>
            <c:numRef>
              <c:f>'2020'!$B$10:$B$11</c:f>
              <c:numCache>
                <c:formatCode>General</c:formatCode>
                <c:ptCount val="2"/>
                <c:pt idx="0">
                  <c:v>5392.59</c:v>
                </c:pt>
                <c:pt idx="1">
                  <c:v>5513.52</c:v>
                </c:pt>
              </c:numCache>
            </c:numRef>
          </c:val>
        </c:ser>
        <c:dLbls>
          <c:showLegendKey val="0"/>
          <c:showVal val="0"/>
          <c:showCatName val="0"/>
          <c:showSerName val="0"/>
          <c:showPercent val="0"/>
          <c:showBubbleSize val="0"/>
        </c:dLbls>
        <c:gapWidth val="150"/>
        <c:axId val="82740736"/>
        <c:axId val="82744448"/>
      </c:barChart>
      <c:catAx>
        <c:axId val="82740736"/>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2744448"/>
        <c:crosses val="autoZero"/>
        <c:auto val="1"/>
        <c:lblAlgn val="ctr"/>
        <c:lblOffset val="100"/>
        <c:noMultiLvlLbl val="0"/>
      </c:catAx>
      <c:valAx>
        <c:axId val="82744448"/>
        <c:scaling>
          <c:orientation val="minMax"/>
          <c:min val="100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2740736"/>
        <c:crosses val="autoZero"/>
        <c:crossBetween val="between"/>
      </c:valAx>
      <c:spPr>
        <a:solidFill>
          <a:schemeClr val="bg1"/>
        </a:solidFill>
        <a:ln>
          <a:noFill/>
        </a:ln>
        <a:effectLst/>
      </c:spPr>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t>收入决算结构图             </a:t>
            </a:r>
            <a:r>
              <a:rPr lang="zh-CN" sz="600"/>
              <a:t>单位</a:t>
            </a:r>
            <a:r>
              <a:rPr lang="en-US" sz="600"/>
              <a:t>:</a:t>
            </a:r>
            <a:r>
              <a:rPr lang="zh-CN" sz="600"/>
              <a:t>万元</a:t>
            </a:r>
            <a:endParaRPr lang="zh-CN"/>
          </a:p>
        </c:rich>
      </c:tx>
      <c:layout/>
      <c:overlay val="0"/>
    </c:title>
    <c:autoTitleDeleted val="0"/>
    <c:view3D>
      <c:rotX val="30"/>
      <c:rotY val="10"/>
      <c:depthPercent val="100"/>
      <c:rAngAx val="0"/>
      <c:perspective val="30"/>
    </c:view3D>
    <c:floor>
      <c:thickness val="0"/>
    </c:floor>
    <c:sideWall>
      <c:thickness val="0"/>
    </c:sideWall>
    <c:backWall>
      <c:thickness val="0"/>
    </c:backWall>
    <c:plotArea>
      <c:layout>
        <c:manualLayout>
          <c:layoutTarget val="inner"/>
          <c:xMode val="edge"/>
          <c:yMode val="edge"/>
          <c:x val="0.027777777777778"/>
          <c:y val="0.200925925925926"/>
          <c:w val="0.597265310586177"/>
          <c:h val="0.748148148148151"/>
        </c:manualLayout>
      </c:layout>
      <c:pie3DChart>
        <c:varyColors val="1"/>
        <c:ser>
          <c:idx val="0"/>
          <c:order val="0"/>
          <c:tx>
            <c:strRef>
              <c:f>'2020'!$B$19</c:f>
              <c:strCache>
                <c:ptCount val="1"/>
                <c:pt idx="0">
                  <c:v>金额</c:v>
                </c:pt>
              </c:strCache>
            </c:strRef>
          </c:tx>
          <c:explosion val="0"/>
          <c:dPt>
            <c:idx val="0"/>
            <c:bubble3D val="0"/>
            <c:explosion val="12"/>
          </c:dPt>
          <c:dPt>
            <c:idx val="1"/>
            <c:bubble3D val="0"/>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'2020'!$A$20:$A$21</c:f>
              <c:strCache>
                <c:ptCount val="2"/>
                <c:pt idx="0">
                  <c:v>一般公共预算拨款收入</c:v>
                </c:pt>
                <c:pt idx="1">
                  <c:v>事业非税收入</c:v>
                </c:pt>
              </c:strCache>
            </c:strRef>
          </c:cat>
          <c:val>
            <c:numRef>
              <c:f>'2020'!$B$20:$B$21</c:f>
              <c:numCache>
                <c:formatCode>General</c:formatCode>
                <c:ptCount val="2"/>
                <c:pt idx="0">
                  <c:v>3090.03</c:v>
                </c:pt>
                <c:pt idx="1" c:formatCode="0.00_ ">
                  <c:v>1756.21</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t>支出决算结构图</a:t>
            </a:r>
            <a:r>
              <a:rPr lang="en-US"/>
              <a:t>        </a:t>
            </a:r>
            <a:r>
              <a:rPr lang="zh-CN" sz="700"/>
              <a:t>单位</a:t>
            </a:r>
            <a:r>
              <a:rPr lang="en-US" sz="700"/>
              <a:t>:</a:t>
            </a:r>
            <a:r>
              <a:rPr lang="zh-CN" sz="700"/>
              <a:t>万元</a:t>
            </a:r>
            <a:r>
              <a:rPr lang="zh-CN"/>
              <a:t> </a:t>
            </a:r>
            <a:endParaRPr lang="zh-CN"/>
          </a:p>
        </c:rich>
      </c:tx>
      <c:layout>
        <c:manualLayout>
          <c:xMode val="edge"/>
          <c:yMode val="edge"/>
          <c:x val="0.19425"/>
          <c:y val="0.0370370370370371"/>
        </c:manualLayout>
      </c:layout>
      <c:overlay val="0"/>
    </c:title>
    <c:autoTitleDeleted val="0"/>
    <c:view3D>
      <c:rotX val="30"/>
      <c:rotY val="10"/>
      <c:depthPercent val="100"/>
      <c:rAngAx val="0"/>
      <c:perspective val="30"/>
    </c:view3D>
    <c:floor>
      <c:thickness val="0"/>
    </c:floor>
    <c:sideWall>
      <c:thickness val="0"/>
    </c:sideWall>
    <c:backWall>
      <c:thickness val="0"/>
    </c:backWall>
    <c:plotArea>
      <c:layout/>
      <c:pie3DChart>
        <c:varyColors val="1"/>
        <c:ser>
          <c:idx val="0"/>
          <c:order val="0"/>
          <c:tx>
            <c:strRef>
              <c:f>'2020'!$B$46</c:f>
              <c:strCache>
                <c:ptCount val="1"/>
                <c:pt idx="0">
                  <c:v>金额 </c:v>
                </c:pt>
              </c:strCache>
            </c:strRef>
          </c:tx>
          <c:explosion val="14"/>
          <c:dPt>
            <c:idx val="0"/>
            <c:bubble3D val="0"/>
            <c:explosion val="1"/>
          </c:dPt>
          <c:dPt>
            <c:idx val="1"/>
            <c:bubble3D val="0"/>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'2020'!$A$47:$A$48</c:f>
              <c:strCache>
                <c:ptCount val="2"/>
                <c:pt idx="0">
                  <c:v>基本支出</c:v>
                </c:pt>
                <c:pt idx="1">
                  <c:v>项目支出</c:v>
                </c:pt>
              </c:strCache>
            </c:strRef>
          </c:cat>
          <c:val>
            <c:numRef>
              <c:f>'2020'!$B$47:$B$48</c:f>
              <c:numCache>
                <c:formatCode>0.00_ </c:formatCode>
                <c:ptCount val="2"/>
                <c:pt idx="0">
                  <c:v>2910.73</c:v>
                </c:pt>
                <c:pt idx="1">
                  <c:v>2408.8</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财政拨款收支决算总计变动情况      </a:t>
            </a:r>
            <a:r>
              <a:rPr lang="zh-CN" altLang="en-US" sz="700"/>
              <a:t>单位</a:t>
            </a:r>
            <a:r>
              <a:rPr lang="en-US" altLang="zh-CN" sz="700"/>
              <a:t>:</a:t>
            </a:r>
            <a:r>
              <a:rPr lang="zh-CN" altLang="en-US" sz="700"/>
              <a:t>万元</a:t>
            </a:r>
            <a:endParaRPr lang="zh-CN" altLang="en-US"/>
          </a:p>
        </c:rich>
      </c:tx>
      <c:layout>
        <c:manualLayout>
          <c:xMode val="edge"/>
          <c:yMode val="edge"/>
          <c:x val="0.193666666666667"/>
          <c:y val="0.0324074074074076"/>
        </c:manualLayout>
      </c:layout>
      <c:overlay val="0"/>
    </c:title>
    <c:autoTitleDeleted val="0"/>
    <c:plotArea>
      <c:layout/>
      <c:barChart>
        <c:barDir val="col"/>
        <c:grouping val="clustered"/>
        <c:varyColors val="0"/>
        <c:ser>
          <c:idx val="0"/>
          <c:order val="0"/>
          <c:tx>
            <c:strRef>
              <c:f>'2020'!$B$60</c:f>
              <c:strCache>
                <c:ptCount val="1"/>
                <c:pt idx="0">
                  <c:v/>
                </c:pt>
              </c:strCache>
            </c:strRef>
          </c:tx>
          <c:invertIfNegative val="0"/>
          <c:dPt>
            <c:idx val="1"/>
            <c:invertIfNegative val="0"/>
            <c:bubble3D val="0"/>
            <c:spPr>
              <a:solidFill>
                <a:srgbClr val="C00000"/>
              </a:solidFill>
            </c:spPr>
          </c:dPt>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'2020'!$A$61:$A$62</c:f>
              <c:strCache>
                <c:ptCount val="2"/>
                <c:pt idx="0">
                  <c:v>2019年</c:v>
                </c:pt>
                <c:pt idx="1">
                  <c:v>2020年</c:v>
                </c:pt>
              </c:strCache>
            </c:strRef>
          </c:cat>
          <c:val>
            <c:numRef>
              <c:f>'2020'!$B$61:$B$62</c:f>
              <c:numCache>
                <c:formatCode>General</c:formatCode>
                <c:ptCount val="2"/>
                <c:pt idx="0">
                  <c:v>5392.59</c:v>
                </c:pt>
                <c:pt idx="1">
                  <c:v>5513.52</c:v>
                </c:pt>
              </c:numCache>
            </c:numRef>
          </c:val>
        </c:ser>
        <c:dLbls>
          <c:showLegendKey val="0"/>
          <c:showVal val="0"/>
          <c:showCatName val="0"/>
          <c:showSerName val="0"/>
          <c:showPercent val="0"/>
          <c:showBubbleSize val="0"/>
        </c:dLbls>
        <c:gapWidth val="150"/>
        <c:axId val="124451072"/>
        <c:axId val="124733696"/>
      </c:barChart>
      <c:catAx>
        <c:axId val="124451072"/>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4733696"/>
        <c:crosses val="autoZero"/>
        <c:auto val="1"/>
        <c:lblAlgn val="ctr"/>
        <c:lblOffset val="100"/>
        <c:noMultiLvlLbl val="0"/>
      </c:catAx>
      <c:valAx>
        <c:axId val="124733696"/>
        <c:scaling>
          <c:orientation val="minMax"/>
          <c:min val="100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4451072"/>
        <c:crosses val="autoZero"/>
        <c:crossBetween val="between"/>
      </c:valAx>
      <c:spPr>
        <a:solidFill>
          <a:schemeClr val="bg1"/>
        </a:solidFill>
        <a:ln>
          <a:noFill/>
        </a:ln>
        <a:effectLst/>
      </c:spPr>
    </c:plotArea>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600"/>
              <a:t>一般公共预算财政拨款支出决算变动情况                    </a:t>
            </a:r>
            <a:r>
              <a:rPr lang="zh-CN" altLang="en-US" sz="700"/>
              <a:t>单位</a:t>
            </a:r>
            <a:r>
              <a:rPr lang="en-US" altLang="zh-CN" sz="700"/>
              <a:t>:</a:t>
            </a:r>
            <a:r>
              <a:rPr lang="zh-CN" altLang="en-US" sz="700"/>
              <a:t>万元</a:t>
            </a:r>
            <a:endParaRPr lang="zh-CN" altLang="en-US"/>
          </a:p>
        </c:rich>
      </c:tx>
      <c:layout>
        <c:manualLayout>
          <c:xMode val="edge"/>
          <c:yMode val="edge"/>
          <c:x val="0.117986001749781"/>
          <c:y val="0.0277777777777779"/>
        </c:manualLayout>
      </c:layout>
      <c:overlay val="0"/>
    </c:title>
    <c:autoTitleDeleted val="0"/>
    <c:plotArea>
      <c:layout/>
      <c:barChart>
        <c:barDir val="col"/>
        <c:grouping val="clustered"/>
        <c:varyColors val="0"/>
        <c:ser>
          <c:idx val="0"/>
          <c:order val="0"/>
          <c:tx>
            <c:strRef>
              <c:f>'2020'!$B$73</c:f>
              <c:strCache>
                <c:ptCount val="1"/>
                <c:pt idx="0">
                  <c:v>一般公共预算财政拨款支出决算变动情况</c:v>
                </c:pt>
              </c:strCache>
            </c:strRef>
          </c:tx>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'2020'!$A$74:$A$75</c:f>
              <c:strCache>
                <c:ptCount val="2"/>
                <c:pt idx="0">
                  <c:v>2019年</c:v>
                </c:pt>
                <c:pt idx="1">
                  <c:v>2020年</c:v>
                </c:pt>
              </c:strCache>
            </c:strRef>
          </c:cat>
          <c:val>
            <c:numRef>
              <c:f>'2020'!$B$74:$B$75</c:f>
              <c:numCache>
                <c:formatCode>0.00_ </c:formatCode>
                <c:ptCount val="2"/>
                <c:pt idx="0">
                  <c:v>4725.32</c:v>
                </c:pt>
                <c:pt idx="1" c:formatCode="General">
                  <c:v>5319.53</c:v>
                </c:pt>
              </c:numCache>
            </c:numRef>
          </c:val>
        </c:ser>
        <c:dLbls>
          <c:showLegendKey val="0"/>
          <c:showVal val="1"/>
          <c:showCatName val="0"/>
          <c:showSerName val="0"/>
          <c:showPercent val="0"/>
          <c:showBubbleSize val="0"/>
        </c:dLbls>
        <c:gapWidth val="150"/>
        <c:axId val="126135296"/>
        <c:axId val="126862080"/>
      </c:barChart>
      <c:catAx>
        <c:axId val="12613529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6862080"/>
        <c:crosses val="autoZero"/>
        <c:auto val="1"/>
        <c:lblAlgn val="ctr"/>
        <c:lblOffset val="100"/>
        <c:noMultiLvlLbl val="0"/>
      </c:catAx>
      <c:valAx>
        <c:axId val="126862080"/>
        <c:scaling>
          <c:orientation val="minMax"/>
          <c:min val="1000"/>
        </c:scaling>
        <c:delete val="0"/>
        <c:axPos val="l"/>
        <c:majorGridlines/>
        <c:numFmt formatCode="0.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6135296"/>
        <c:crosses val="autoZero"/>
        <c:crossBetween val="between"/>
      </c:valAx>
      <c:spPr>
        <a:solidFill>
          <a:schemeClr val="bg1"/>
        </a:solidFill>
        <a:ln>
          <a:noFill/>
        </a:ln>
        <a:effectLst/>
      </c:spPr>
    </c:plotArea>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 </a:t>
            </a:r>
            <a:r>
              <a:rPr lang="zh-CN" altLang="en-US" sz="1600"/>
              <a:t>一般公共预算财政拨款支出决算结构        </a:t>
            </a:r>
            <a:r>
              <a:rPr lang="zh-CN" altLang="en-US" sz="600"/>
              <a:t>单位</a:t>
            </a:r>
            <a:r>
              <a:rPr lang="en-US" altLang="zh-CN" sz="600"/>
              <a:t>:</a:t>
            </a:r>
            <a:r>
              <a:rPr lang="zh-CN" altLang="en-US" sz="600"/>
              <a:t>万元</a:t>
            </a:r>
            <a:endParaRPr lang="zh-CN" altLang="en-US"/>
          </a:p>
        </c:rich>
      </c:tx>
      <c:layout>
        <c:manualLayout>
          <c:xMode val="edge"/>
          <c:yMode val="edge"/>
          <c:x val="0.109652668416448"/>
          <c:y val="0.027777777777778"/>
        </c:manualLayout>
      </c:layout>
      <c:overlay val="0"/>
    </c:title>
    <c:autoTitleDeleted val="0"/>
    <c:view3D>
      <c:rotX val="30"/>
      <c:rotY val="0"/>
      <c:depthPercent val="100"/>
      <c:rAngAx val="0"/>
      <c:perspective val="30"/>
    </c:view3D>
    <c:floor>
      <c:thickness val="0"/>
    </c:floor>
    <c:sideWall>
      <c:thickness val="0"/>
    </c:sideWall>
    <c:backWall>
      <c:thickness val="0"/>
    </c:backWall>
    <c:plotArea>
      <c:layout>
        <c:manualLayout>
          <c:layoutTarget val="inner"/>
          <c:xMode val="edge"/>
          <c:yMode val="edge"/>
          <c:x val="0.027777777777778"/>
          <c:y val="0.21192147856518"/>
          <c:w val="0.597265310586177"/>
          <c:h val="0.718634076990379"/>
        </c:manualLayout>
      </c:layout>
      <c:pie3DChart>
        <c:varyColors val="1"/>
        <c:ser>
          <c:idx val="0"/>
          <c:order val="0"/>
          <c:tx>
            <c:strRef>
              <c:f>'2020'!$B$89</c:f>
              <c:strCache>
                <c:ptCount val="1"/>
                <c:pt idx="0">
                  <c:v>一般公共预算财政拨款支出决算结构</c:v>
                </c:pt>
              </c:strCache>
            </c:strRef>
          </c:tx>
          <c:explosion val="13"/>
          <c:dPt>
            <c:idx val="0"/>
            <c:bubble3D val="0"/>
          </c:dPt>
          <c:dPt>
            <c:idx val="1"/>
            <c:bubble3D val="0"/>
            <c:explosion val="51"/>
          </c:dPt>
          <c:dPt>
            <c:idx val="2"/>
            <c:bubble3D val="0"/>
            <c:explosion val="53"/>
          </c:dPt>
          <c:dPt>
            <c:idx val="3"/>
            <c:bubble3D val="0"/>
            <c:explosion val="53"/>
          </c:dPt>
          <c:dPt>
            <c:idx val="4"/>
            <c:bubble3D val="0"/>
            <c:explosion val="43"/>
          </c:dPt>
          <c:dPt>
            <c:idx val="5"/>
            <c:bubble3D val="0"/>
          </c:dPt>
          <c:dPt>
            <c:idx val="6"/>
            <c:bubble3D val="0"/>
          </c:dPt>
          <c:dLbls>
            <c:dLbl>
              <c:idx val="0"/>
              <c:layout>
                <c:manualLayout>
                  <c:x val="0.0694220253718285"/>
                  <c:y val="0.034658063575386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49939851268592"/>
                  <c:y val="-0.0058898366870807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38024934383205"/>
                  <c:y val="-0.04413130650335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606012685914261"/>
                  <c:y val="-0.037975721784777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'2020'!$A$90:$A$96</c:f>
              <c:strCache>
                <c:ptCount val="7"/>
                <c:pt idx="0">
                  <c:v>一般公共服务支出</c:v>
                </c:pt>
                <c:pt idx="1">
                  <c:v>文化体育与传媒支出</c:v>
                </c:pt>
                <c:pt idx="2">
                  <c:v>教育支出</c:v>
                </c:pt>
                <c:pt idx="3">
                  <c:v>社会保障和就业支出</c:v>
                </c:pt>
                <c:pt idx="4">
                  <c:v>卫生健康支出</c:v>
                </c:pt>
                <c:pt idx="5">
                  <c:v>其它支出</c:v>
                </c:pt>
                <c:pt idx="6">
                  <c:v>住房保障支出</c:v>
                </c:pt>
              </c:strCache>
            </c:strRef>
          </c:cat>
          <c:val>
            <c:numRef>
              <c:f>'2020'!$B$90:$B$96</c:f>
              <c:numCache>
                <c:formatCode>0.00_ </c:formatCode>
                <c:ptCount val="7"/>
                <c:pt idx="0">
                  <c:v>162</c:v>
                </c:pt>
                <c:pt idx="1">
                  <c:v>4685.13</c:v>
                </c:pt>
                <c:pt idx="2">
                  <c:v>4.5</c:v>
                </c:pt>
                <c:pt idx="3">
                  <c:v>183.86</c:v>
                </c:pt>
                <c:pt idx="4">
                  <c:v>92.18</c:v>
                </c:pt>
                <c:pt idx="5">
                  <c:v>5</c:v>
                </c:pt>
                <c:pt idx="6">
                  <c:v>186.86</c:v>
                </c:pt>
              </c:numCache>
            </c:numRef>
          </c:val>
        </c:ser>
        <c:ser>
          <c:idx val="1"/>
          <c:order val="1"/>
          <c:tx>
            <c:strRef>
              <c:f>'2020'!$C$89</c:f>
              <c:strCache>
                <c:ptCount val="1"/>
                <c:pt idx="0">
                  <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Lbls>
            <c:delete val="1"/>
          </c:dLbls>
          <c:cat>
            <c:strRef>
              <c:f>'2020'!$A$90:$A$96</c:f>
              <c:strCache>
                <c:ptCount val="7"/>
                <c:pt idx="0">
                  <c:v>一般公共服务支出</c:v>
                </c:pt>
                <c:pt idx="1">
                  <c:v>文化体育与传媒支出</c:v>
                </c:pt>
                <c:pt idx="2">
                  <c:v>教育支出</c:v>
                </c:pt>
                <c:pt idx="3">
                  <c:v>社会保障和就业支出</c:v>
                </c:pt>
                <c:pt idx="4">
                  <c:v>卫生健康支出</c:v>
                </c:pt>
                <c:pt idx="5">
                  <c:v>其它支出</c:v>
                </c:pt>
                <c:pt idx="6">
                  <c:v>住房保障支出</c:v>
                </c:pt>
              </c:strCache>
            </c:strRef>
          </c:cat>
          <c:val>
            <c:numRef>
              <c:f>'2020'!$C$90:$C$96</c:f>
              <c:numCache>
                <c:formatCode>General</c:formatCode>
                <c:ptCount val="7"/>
              </c:numCache>
            </c:numRef>
          </c:val>
        </c:ser>
        <c:ser>
          <c:idx val="2"/>
          <c:order val="2"/>
          <c:tx>
            <c:strRef>
              <c:f>'2020'!$D$89</c:f>
              <c:strCache>
                <c:ptCount val="1"/>
                <c:pt idx="0">
                  <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Lbls>
            <c:delete val="1"/>
          </c:dLbls>
          <c:cat>
            <c:strRef>
              <c:f>'2020'!$A$90:$A$96</c:f>
              <c:strCache>
                <c:ptCount val="7"/>
                <c:pt idx="0">
                  <c:v>一般公共服务支出</c:v>
                </c:pt>
                <c:pt idx="1">
                  <c:v>文化体育与传媒支出</c:v>
                </c:pt>
                <c:pt idx="2">
                  <c:v>教育支出</c:v>
                </c:pt>
                <c:pt idx="3">
                  <c:v>社会保障和就业支出</c:v>
                </c:pt>
                <c:pt idx="4">
                  <c:v>卫生健康支出</c:v>
                </c:pt>
                <c:pt idx="5">
                  <c:v>其它支出</c:v>
                </c:pt>
                <c:pt idx="6">
                  <c:v>住房保障支出</c:v>
                </c:pt>
              </c:strCache>
            </c:strRef>
          </c:cat>
          <c:val>
            <c:numRef>
              <c:f>'2020'!$D$90:$D$96</c:f>
              <c:numCache>
                <c:formatCode>General</c:formatCode>
                <c:ptCount val="7"/>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t>“三公”经费财政拨款支出结构      </a:t>
            </a:r>
            <a:r>
              <a:rPr lang="zh-CN" sz="700"/>
              <a:t>单位：万元</a:t>
            </a:r>
            <a:endParaRPr lang="zh-CN"/>
          </a:p>
        </c:rich>
      </c:tx>
      <c:layout/>
      <c:overlay val="0"/>
    </c:title>
    <c:autoTitleDeleted val="0"/>
    <c:view3D>
      <c:rotX val="30"/>
      <c:rotY val="10"/>
      <c:depthPercent val="100"/>
      <c:rAngAx val="0"/>
      <c:perspective val="30"/>
    </c:view3D>
    <c:floor>
      <c:thickness val="0"/>
    </c:floor>
    <c:sideWall>
      <c:thickness val="0"/>
    </c:sideWall>
    <c:backWall>
      <c:thickness val="0"/>
    </c:backWall>
    <c:plotArea>
      <c:layout/>
      <c:pie3DChart>
        <c:varyColors val="1"/>
        <c:ser>
          <c:idx val="0"/>
          <c:order val="0"/>
          <c:tx>
            <c:strRef>
              <c:f>'2020'!$B$107</c:f>
              <c:strCache>
                <c:ptCount val="1"/>
                <c:pt idx="0">
                  <c:v>“三公”经费财政拨款支出结构</c:v>
                </c:pt>
              </c:strCache>
            </c:strRef>
          </c:tx>
          <c:explosion val="7"/>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'2020'!$A$108:$A$109</c:f>
              <c:strCache>
                <c:ptCount val="2"/>
                <c:pt idx="0">
                  <c:v>公务用车购置及运行维护费支出</c:v>
                </c:pt>
                <c:pt idx="1">
                  <c:v>公务接待费支出</c:v>
                </c:pt>
              </c:strCache>
            </c:strRef>
          </c:cat>
          <c:val>
            <c:numRef>
              <c:f>'2020'!$B$108:$B$109</c:f>
              <c:numCache>
                <c:formatCode>0.00_ </c:formatCode>
                <c:ptCount val="2"/>
                <c:pt idx="0">
                  <c:v>7.8</c:v>
                </c:pt>
                <c:pt idx="1">
                  <c:v>6.1</c:v>
                </c:pt>
              </c:numCache>
            </c:numRef>
          </c:val>
        </c:ser>
        <c:dLbls>
          <c:showLegendKey val="0"/>
          <c:showVal val="1"/>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B435D1-AFE3-450F-AA02-F17CF0321F2E}">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28</Pages>
  <Words>2130</Words>
  <Characters>12141</Characters>
  <Lines>101</Lines>
  <Paragraphs>28</Paragraphs>
  <TotalTime>120</TotalTime>
  <ScaleCrop>false</ScaleCrop>
  <LinksUpToDate>false</LinksUpToDate>
  <CharactersWithSpaces>14243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2021-09-16T06:09:00Z</dcterms:created>
  <dc:creator>曹颖</dc:creator>
  <cp:lastModifiedBy>贝1421510021</cp:lastModifiedBy>
  <cp:lastPrinted>2020-10-09T06:42:00Z</cp:lastPrinted>
  <dcterms:modified xsi:type="dcterms:W3CDTF">2021-09-16T08:44:29Z</dcterms:modified>
  <dc:title>四川省***</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275B0FD522A0414CBA6E32AD10A47DC4</vt:lpwstr>
  </property>
</Properties>
</file>